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abs>
          <w:tab w:val="clear" w:pos="720"/>
          <w:tab w:val="left" w:pos="7267" w:leader="none"/>
        </w:tabs>
        <w:spacing w:lineRule="auto" w:line="360"/>
        <w:ind w:firstLine="709"/>
        <w:jc w:val="center"/>
        <w:rPr>
          <w:b/>
          <w:bCs/>
          <w:color w:val="000000" w:themeColor="text1"/>
        </w:rPr>
      </w:pPr>
      <w:bookmarkStart w:id="0" w:name="_Int_lA1pFW4V"/>
      <w:r>
        <w:rPr>
          <w:b/>
          <w:bCs/>
          <w:color w:val="000000" w:themeColor="text1"/>
        </w:rPr>
        <w:t xml:space="preserve">ESTUDO TÉCNICO PRELIMINAR </w:t>
      </w:r>
    </w:p>
    <w:p>
      <w:pPr>
        <w:pStyle w:val="Normal"/>
        <w:pBdr/>
        <w:tabs>
          <w:tab w:val="clear" w:pos="720"/>
          <w:tab w:val="left" w:pos="7267" w:leader="none"/>
        </w:tabs>
        <w:spacing w:lineRule="auto" w:line="360"/>
        <w:ind w:firstLine="709"/>
        <w:jc w:val="center"/>
        <w:rPr>
          <w:b/>
          <w:bCs/>
          <w:color w:val="000000"/>
        </w:rPr>
      </w:pPr>
      <w:bookmarkStart w:id="1" w:name="_Int_lA1pFW4V"/>
      <w:r>
        <w:rPr>
          <w:b/>
          <w:bCs/>
          <w:color w:val="C00000"/>
        </w:rPr>
        <w:t>(DOCUMENTO MODELO – Versão 1.0 – Disponibilizada em 17/03/2022)</w:t>
      </w:r>
      <w:bookmarkEnd w:id="1"/>
    </w:p>
    <w:p>
      <w:pPr>
        <w:pStyle w:val="Normal"/>
        <w:spacing w:lineRule="auto" w:line="360"/>
        <w:jc w:val="center"/>
        <w:rPr>
          <w:rFonts w:eastAsia="Cambria"/>
          <w:color w:val="C00000"/>
          <w:sz w:val="22"/>
          <w:szCs w:val="22"/>
        </w:rPr>
      </w:pPr>
      <w:r>
        <w:rPr>
          <w:rFonts w:eastAsia="Cambria"/>
          <w:color w:val="C00000"/>
          <w:sz w:val="22"/>
          <w:szCs w:val="22"/>
        </w:rPr>
        <w:t>[OS TEXTOS EM VERMELHO DEVERÃO SER APAGADOS ANTES DA VERSAO FINAL DO DOCUMENTO]</w:t>
      </w:r>
    </w:p>
    <w:p>
      <w:pPr>
        <w:pStyle w:val="Normal"/>
        <w:spacing w:lineRule="auto" w:line="360"/>
        <w:jc w:val="both"/>
        <w:rPr>
          <w:rFonts w:eastAsia="Cambria"/>
          <w:color w:val="FF0000"/>
          <w:sz w:val="22"/>
          <w:szCs w:val="22"/>
        </w:rPr>
      </w:pPr>
      <w:r>
        <w:rPr>
          <w:rFonts w:eastAsia="Cambria"/>
          <w:color w:val="FF0000"/>
          <w:sz w:val="22"/>
          <w:szCs w:val="22"/>
        </w:rPr>
      </w:r>
    </w:p>
    <w:p>
      <w:pPr>
        <w:pStyle w:val="Normal"/>
        <w:spacing w:lineRule="auto" w:line="360"/>
        <w:jc w:val="both"/>
        <w:rPr>
          <w:rFonts w:eastAsia="Cambria"/>
          <w:color w:val="C00000"/>
          <w:sz w:val="22"/>
          <w:szCs w:val="22"/>
        </w:rPr>
      </w:pPr>
      <w:r>
        <w:rPr>
          <w:rFonts w:eastAsia="Cambria"/>
          <w:color w:val="C00000"/>
          <w:sz w:val="22"/>
          <w:szCs w:val="22"/>
        </w:rPr>
        <w:t xml:space="preserve">INSTRUÇÕES PARA PREENCHIMENTO DA MINUTA DO ESTUDO TÉCNICO PRELIMINAR: </w:t>
      </w:r>
    </w:p>
    <w:p>
      <w:pPr>
        <w:pStyle w:val="Normal"/>
        <w:spacing w:lineRule="auto" w:line="360"/>
        <w:jc w:val="both"/>
        <w:rPr>
          <w:rFonts w:eastAsia="Cambria"/>
          <w:color w:val="C00000"/>
          <w:sz w:val="22"/>
          <w:szCs w:val="22"/>
        </w:rPr>
      </w:pPr>
      <w:r>
        <w:rPr>
          <w:rFonts w:eastAsia="Cambria"/>
          <w:color w:val="C00000"/>
          <w:sz w:val="22"/>
          <w:szCs w:val="22"/>
        </w:rPr>
      </w:r>
    </w:p>
    <w:p>
      <w:pPr>
        <w:pStyle w:val="Normal"/>
        <w:spacing w:lineRule="auto" w:line="360"/>
        <w:jc w:val="center"/>
        <w:rPr>
          <w:rFonts w:eastAsia="Cambria"/>
          <w:b/>
          <w:bCs/>
          <w:color w:val="C00000"/>
          <w:u w:val="single"/>
        </w:rPr>
      </w:pPr>
      <w:r>
        <w:rPr>
          <w:rFonts w:eastAsia="Cambria"/>
          <w:b/>
          <w:bCs/>
          <w:color w:val="C00000"/>
          <w:u w:val="single"/>
        </w:rPr>
        <w:t>Orientações Gerais</w:t>
      </w:r>
    </w:p>
    <w:p>
      <w:pPr>
        <w:pStyle w:val="Normal"/>
        <w:spacing w:lineRule="auto" w:line="360"/>
        <w:jc w:val="center"/>
        <w:rPr>
          <w:rFonts w:eastAsia="Cambria"/>
          <w:b/>
          <w:bCs/>
          <w:color w:val="C00000"/>
          <w:u w:val="single"/>
        </w:rPr>
      </w:pPr>
      <w:r>
        <w:rPr>
          <w:rFonts w:eastAsia="Cambria"/>
          <w:b/>
          <w:bCs/>
          <w:color w:val="C00000"/>
          <w:u w:val="single"/>
        </w:rPr>
      </w:r>
    </w:p>
    <w:p>
      <w:pPr>
        <w:pStyle w:val="ListParagraph"/>
        <w:numPr>
          <w:ilvl w:val="0"/>
          <w:numId w:val="7"/>
        </w:numPr>
        <w:spacing w:lineRule="auto" w:line="360"/>
        <w:ind w:left="360" w:hanging="360"/>
        <w:jc w:val="both"/>
        <w:rPr>
          <w:rFonts w:eastAsia="Cambria"/>
          <w:b/>
          <w:bCs/>
          <w:color w:val="C00000"/>
          <w:sz w:val="22"/>
          <w:szCs w:val="22"/>
        </w:rPr>
      </w:pPr>
      <w:r>
        <w:rPr>
          <w:rFonts w:eastAsia="Cambria"/>
          <w:b/>
          <w:bCs/>
          <w:color w:val="C00000"/>
          <w:sz w:val="22"/>
          <w:szCs w:val="22"/>
        </w:rPr>
        <w:t>Normas aplicáveis:</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Lei Federal nº. 8.666, de 21 de junho de 1993 (Lei Geral de Licitações)</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Lei nº 14.167, de 10 de janeiro de 2002 (Lei do Pregão no Estado de Minas Gerais)</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Lei Federal nº. 10.520, de 17 de julho de 2002 (Lei Federal do Pregão)</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Lei Federal nº. 12.462, de 4 de agosto de 2011 (Lei do RDC)</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 xml:space="preserve">Lei Federal nº. 14.133, de 1º de abril de 2021 (Nova Lei de Licitações e Contratos Administrativos) – </w:t>
      </w:r>
      <w:r>
        <w:rPr>
          <w:rFonts w:eastAsia="Cambria"/>
          <w:b/>
          <w:bCs/>
          <w:color w:val="C00000"/>
          <w:sz w:val="22"/>
          <w:szCs w:val="22"/>
          <w:u w:val="single"/>
        </w:rPr>
        <w:t>ainda não utilizada pelos órgãos e entidades do Estado de Minas Gerais</w:t>
      </w:r>
    </w:p>
    <w:p>
      <w:pPr>
        <w:pStyle w:val="ListParagraph"/>
        <w:numPr>
          <w:ilvl w:val="1"/>
          <w:numId w:val="7"/>
        </w:numPr>
        <w:spacing w:lineRule="auto" w:line="360"/>
        <w:ind w:left="1080" w:hanging="360"/>
        <w:jc w:val="both"/>
        <w:rPr>
          <w:rFonts w:eastAsia="Cambria"/>
          <w:color w:val="C00000"/>
          <w:sz w:val="22"/>
          <w:szCs w:val="22"/>
        </w:rPr>
      </w:pPr>
      <w:r>
        <w:rPr>
          <w:rFonts w:eastAsia="Cambria"/>
          <w:color w:val="C00000"/>
          <w:sz w:val="22"/>
          <w:szCs w:val="22"/>
        </w:rPr>
        <w:t>Decreto nº. 48.012, de 22 de julho de 2020 (Decreto do pregão eletrônico no Estado de Minas Gerais)</w:t>
      </w:r>
    </w:p>
    <w:p>
      <w:pPr>
        <w:pStyle w:val="ListParagraph"/>
        <w:numPr>
          <w:ilvl w:val="1"/>
          <w:numId w:val="7"/>
        </w:numPr>
        <w:spacing w:lineRule="auto" w:line="360"/>
        <w:ind w:left="1080" w:hanging="360"/>
        <w:jc w:val="both"/>
        <w:rPr>
          <w:rFonts w:eastAsia="Cambria"/>
          <w:b/>
          <w:bCs/>
          <w:color w:val="C00000"/>
          <w:sz w:val="22"/>
          <w:szCs w:val="22"/>
        </w:rPr>
      </w:pPr>
      <w:r>
        <w:rPr>
          <w:rFonts w:eastAsia="Cambria"/>
          <w:b/>
          <w:bCs/>
          <w:color w:val="C00000"/>
          <w:sz w:val="22"/>
          <w:szCs w:val="22"/>
        </w:rPr>
        <w:t>Resolução SEPLAG nº. 115, de 29 de dezembro de 2021 (início da vigência em 30/03/2022)</w:t>
      </w:r>
    </w:p>
    <w:p>
      <w:pPr>
        <w:pStyle w:val="Normal"/>
        <w:spacing w:lineRule="auto" w:line="360"/>
        <w:jc w:val="both"/>
        <w:rPr>
          <w:rFonts w:eastAsia="Cambria"/>
          <w:color w:val="C00000"/>
          <w:sz w:val="22"/>
          <w:szCs w:val="22"/>
        </w:rPr>
      </w:pPr>
      <w:r>
        <w:rPr>
          <w:rFonts w:eastAsia="Cambria"/>
          <w:color w:val="C00000"/>
          <w:sz w:val="22"/>
          <w:szCs w:val="22"/>
        </w:rPr>
      </w:r>
    </w:p>
    <w:p>
      <w:pPr>
        <w:pStyle w:val="ListParagraph"/>
        <w:numPr>
          <w:ilvl w:val="0"/>
          <w:numId w:val="7"/>
        </w:numPr>
        <w:spacing w:lineRule="auto" w:line="360"/>
        <w:ind w:left="360" w:hanging="360"/>
        <w:jc w:val="both"/>
        <w:rPr>
          <w:rFonts w:eastAsia="Cambria"/>
          <w:color w:val="C00000"/>
          <w:sz w:val="22"/>
          <w:szCs w:val="22"/>
        </w:rPr>
      </w:pPr>
      <w:r>
        <w:rPr>
          <w:rFonts w:eastAsia="Cambria"/>
          <w:b/>
          <w:bCs/>
          <w:color w:val="C00000"/>
          <w:sz w:val="22"/>
          <w:szCs w:val="22"/>
        </w:rPr>
        <w:t>Conceito</w:t>
      </w:r>
      <w:r>
        <w:rPr>
          <w:rFonts w:eastAsia="Cambria"/>
          <w:color w:val="C00000"/>
          <w:sz w:val="22"/>
          <w:szCs w:val="22"/>
        </w:rPr>
        <w:t xml:space="preserve">: o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 </w:t>
      </w:r>
    </w:p>
    <w:p>
      <w:pPr>
        <w:pStyle w:val="Normal"/>
        <w:spacing w:lineRule="auto" w:line="360"/>
        <w:jc w:val="both"/>
        <w:rPr>
          <w:rFonts w:eastAsia="Cambria"/>
          <w:color w:val="C00000"/>
          <w:sz w:val="22"/>
          <w:szCs w:val="22"/>
        </w:rPr>
      </w:pPr>
      <w:r>
        <w:rPr>
          <w:rFonts w:eastAsia="Cambria"/>
          <w:color w:val="C00000"/>
          <w:sz w:val="22"/>
          <w:szCs w:val="22"/>
        </w:rPr>
      </w:r>
    </w:p>
    <w:p>
      <w:pPr>
        <w:pStyle w:val="ListParagraph"/>
        <w:numPr>
          <w:ilvl w:val="0"/>
          <w:numId w:val="7"/>
        </w:numPr>
        <w:spacing w:lineRule="auto" w:line="360"/>
        <w:ind w:left="360" w:hanging="360"/>
        <w:jc w:val="both"/>
        <w:rPr>
          <w:rFonts w:eastAsia="Cambria"/>
          <w:color w:val="C00000"/>
          <w:sz w:val="22"/>
          <w:szCs w:val="22"/>
        </w:rPr>
      </w:pPr>
      <w:r>
        <w:rPr>
          <w:rFonts w:eastAsia="Cambria"/>
          <w:b/>
          <w:bCs/>
          <w:color w:val="C00000"/>
          <w:sz w:val="22"/>
          <w:szCs w:val="22"/>
        </w:rPr>
        <w:t>Quando fazer o ETP?</w:t>
      </w:r>
    </w:p>
    <w:p>
      <w:pPr>
        <w:pStyle w:val="ListParagraph"/>
        <w:numPr>
          <w:ilvl w:val="1"/>
          <w:numId w:val="7"/>
        </w:numPr>
        <w:spacing w:lineRule="auto" w:line="360"/>
        <w:ind w:left="1134" w:hanging="360"/>
        <w:jc w:val="both"/>
        <w:rPr>
          <w:rFonts w:eastAsia="Cambria"/>
          <w:color w:val="C00000"/>
          <w:sz w:val="22"/>
          <w:szCs w:val="22"/>
        </w:rPr>
      </w:pPr>
      <w:r>
        <w:rPr>
          <w:rFonts w:eastAsia="Cambria"/>
          <w:color w:val="C00000"/>
          <w:sz w:val="22"/>
          <w:szCs w:val="22"/>
        </w:rPr>
        <w:t xml:space="preserve">Regra: conforme o art. 4º da Resolução SEPLAG nº. 115/2021, as licitações e procedimentos auxiliares para aquisições de bens e contratação de serviços de qualquer natureza e, no que couber, para contratação de obras, </w:t>
      </w:r>
      <w:r>
        <w:rPr>
          <w:rFonts w:eastAsia="Cambria"/>
          <w:b/>
          <w:bCs/>
          <w:color w:val="C00000"/>
          <w:sz w:val="22"/>
          <w:szCs w:val="22"/>
        </w:rPr>
        <w:t>deverão ser precedidas pelo ETP.</w:t>
      </w:r>
    </w:p>
    <w:p>
      <w:pPr>
        <w:pStyle w:val="ListParagraph"/>
        <w:numPr>
          <w:ilvl w:val="1"/>
          <w:numId w:val="7"/>
        </w:numPr>
        <w:spacing w:lineRule="auto" w:line="360"/>
        <w:ind w:left="1134" w:hanging="360"/>
        <w:jc w:val="both"/>
        <w:rPr>
          <w:rFonts w:eastAsia="Cambria"/>
          <w:color w:val="C00000"/>
          <w:sz w:val="22"/>
          <w:szCs w:val="22"/>
        </w:rPr>
      </w:pPr>
      <w:r>
        <w:rPr>
          <w:rFonts w:eastAsia="Cambria"/>
          <w:color w:val="C00000"/>
          <w:sz w:val="22"/>
          <w:szCs w:val="22"/>
        </w:rPr>
        <w:t>Exceções:</w:t>
      </w:r>
    </w:p>
    <w:p>
      <w:pPr>
        <w:pStyle w:val="ListParagraph"/>
        <w:numPr>
          <w:ilvl w:val="2"/>
          <w:numId w:val="7"/>
        </w:numPr>
        <w:spacing w:lineRule="auto" w:line="360"/>
        <w:ind w:left="1560" w:hanging="360"/>
        <w:jc w:val="both"/>
        <w:rPr>
          <w:rFonts w:eastAsia="Cambria"/>
          <w:color w:val="C00000"/>
          <w:sz w:val="22"/>
          <w:szCs w:val="22"/>
        </w:rPr>
      </w:pPr>
      <w:r>
        <w:rPr>
          <w:rFonts w:eastAsia="Cambria"/>
          <w:b/>
          <w:bCs/>
          <w:color w:val="C00000"/>
          <w:sz w:val="22"/>
          <w:szCs w:val="22"/>
        </w:rPr>
        <w:t>Faculdade</w:t>
      </w:r>
      <w:r>
        <w:rPr>
          <w:rFonts w:eastAsia="Cambria"/>
          <w:color w:val="C00000"/>
          <w:sz w:val="22"/>
          <w:szCs w:val="22"/>
        </w:rPr>
        <w:t xml:space="preserve"> de elaboração: o art. 4º, §1º, da Resolução SEPLAG nº. 115/2021 apresenta situações em que o gestor, </w:t>
      </w:r>
      <w:r>
        <w:rPr>
          <w:rFonts w:eastAsia="Cambria"/>
          <w:b/>
          <w:bCs/>
          <w:color w:val="C00000"/>
          <w:sz w:val="22"/>
          <w:szCs w:val="22"/>
        </w:rPr>
        <w:t>diante do caso concreto e mediante justificativa</w:t>
      </w:r>
      <w:r>
        <w:rPr>
          <w:rFonts w:eastAsia="Cambria"/>
          <w:color w:val="C00000"/>
          <w:sz w:val="22"/>
          <w:szCs w:val="22"/>
        </w:rPr>
        <w:t xml:space="preserve">, poderá </w:t>
      </w:r>
      <w:r>
        <w:rPr>
          <w:rFonts w:eastAsia="Cambria"/>
          <w:b/>
          <w:bCs/>
          <w:color w:val="C00000"/>
          <w:sz w:val="22"/>
          <w:szCs w:val="22"/>
        </w:rPr>
        <w:t>optar</w:t>
      </w:r>
      <w:r>
        <w:rPr>
          <w:rFonts w:eastAsia="Cambria"/>
          <w:color w:val="C00000"/>
          <w:sz w:val="22"/>
          <w:szCs w:val="22"/>
        </w:rPr>
        <w:t xml:space="preserve"> pela não elaboração do estudo técnico preliminar;</w:t>
      </w:r>
    </w:p>
    <w:p>
      <w:pPr>
        <w:pStyle w:val="ListParagraph"/>
        <w:numPr>
          <w:ilvl w:val="2"/>
          <w:numId w:val="7"/>
        </w:numPr>
        <w:spacing w:lineRule="auto" w:line="360"/>
        <w:ind w:left="1560" w:hanging="360"/>
        <w:jc w:val="both"/>
        <w:rPr>
          <w:rFonts w:eastAsia="Cambria"/>
          <w:color w:val="C00000"/>
          <w:sz w:val="22"/>
          <w:szCs w:val="22"/>
        </w:rPr>
      </w:pPr>
      <w:r>
        <w:rPr>
          <w:rFonts w:eastAsia="Cambria"/>
          <w:b/>
          <w:bCs/>
          <w:color w:val="C00000"/>
          <w:sz w:val="22"/>
          <w:szCs w:val="22"/>
        </w:rPr>
        <w:t>Dispensa</w:t>
      </w:r>
      <w:r>
        <w:rPr>
          <w:rFonts w:eastAsia="Cambria"/>
          <w:color w:val="C00000"/>
          <w:sz w:val="22"/>
          <w:szCs w:val="22"/>
        </w:rPr>
        <w:t xml:space="preserve"> de elaboração: o art. 4º, §2º, da Resolução SEPLAG nº. 115/2021 apresenta situações em que o legislador já previu situações que justificam a não elaboração do ETP, mas não impedem decidir pela sua elaboração quando o gestor julgar necessário.</w:t>
      </w:r>
    </w:p>
    <w:p>
      <w:pPr>
        <w:pStyle w:val="ListParagraph"/>
        <w:spacing w:lineRule="auto" w:line="360"/>
        <w:ind w:left="360" w:hanging="0"/>
        <w:jc w:val="both"/>
        <w:rPr>
          <w:rFonts w:eastAsia="Cambria"/>
          <w:color w:val="C00000"/>
          <w:sz w:val="22"/>
          <w:szCs w:val="22"/>
        </w:rPr>
      </w:pPr>
      <w:r>
        <w:rPr>
          <w:rFonts w:eastAsia="Cambria"/>
          <w:color w:val="C00000"/>
          <w:sz w:val="22"/>
          <w:szCs w:val="22"/>
        </w:rPr>
      </w:r>
    </w:p>
    <w:p>
      <w:pPr>
        <w:pStyle w:val="ListParagraph"/>
        <w:numPr>
          <w:ilvl w:val="0"/>
          <w:numId w:val="7"/>
        </w:numPr>
        <w:spacing w:lineRule="auto" w:line="360"/>
        <w:ind w:left="360" w:hanging="360"/>
        <w:jc w:val="both"/>
        <w:rPr>
          <w:rFonts w:eastAsia="Cambria"/>
          <w:color w:val="C00000"/>
          <w:sz w:val="22"/>
          <w:szCs w:val="22"/>
        </w:rPr>
      </w:pPr>
      <w:r>
        <w:rPr>
          <w:rFonts w:eastAsia="Cambria"/>
          <w:b/>
          <w:bCs/>
          <w:color w:val="C00000"/>
          <w:sz w:val="22"/>
          <w:szCs w:val="22"/>
        </w:rPr>
        <w:t>Conteúdo do ETP</w:t>
      </w:r>
      <w:r>
        <w:rPr>
          <w:rFonts w:eastAsia="Cambria"/>
          <w:color w:val="C00000"/>
          <w:sz w:val="22"/>
          <w:szCs w:val="22"/>
        </w:rPr>
        <w:t>: o art. 6º da Resolução SEPLAG nº. 155/2021 apresenta os elementos que o ETP deve conter, sendo alguns de caráter obrigatório. A proposta deste documento modelo buscou organizar tais elementos considerando a correspondência dos assuntos abordados, garantindo, assim, que todos estejam facilmente identificados.</w:t>
      </w:r>
    </w:p>
    <w:p>
      <w:pPr>
        <w:pStyle w:val="ListParagraph"/>
        <w:numPr>
          <w:ilvl w:val="1"/>
          <w:numId w:val="7"/>
        </w:numPr>
        <w:spacing w:lineRule="auto" w:line="360"/>
        <w:ind w:left="1134" w:hanging="360"/>
        <w:jc w:val="both"/>
        <w:rPr>
          <w:rFonts w:eastAsia="Cambria"/>
          <w:b/>
          <w:bCs/>
          <w:color w:val="C00000"/>
          <w:sz w:val="22"/>
          <w:szCs w:val="22"/>
        </w:rPr>
      </w:pPr>
      <w:r>
        <w:rPr>
          <w:rFonts w:eastAsia="Cambria"/>
          <w:b/>
          <w:bCs/>
          <w:color w:val="C00000"/>
          <w:sz w:val="22"/>
          <w:szCs w:val="22"/>
        </w:rPr>
        <w:t>Elementos obrigatórios: aqueles dispostos nos itens II.1, III.1, III.2, III.3, IV.1, IV.2 e V.</w:t>
      </w:r>
    </w:p>
    <w:p>
      <w:pPr>
        <w:pStyle w:val="ListParagraph"/>
        <w:numPr>
          <w:ilvl w:val="1"/>
          <w:numId w:val="7"/>
        </w:numPr>
        <w:spacing w:lineRule="auto" w:line="360"/>
        <w:ind w:left="1134" w:hanging="360"/>
        <w:jc w:val="both"/>
        <w:rPr>
          <w:rFonts w:eastAsia="Cambria"/>
          <w:b/>
          <w:bCs/>
          <w:color w:val="C00000"/>
          <w:sz w:val="22"/>
          <w:szCs w:val="22"/>
        </w:rPr>
      </w:pPr>
      <w:r>
        <w:rPr>
          <w:rFonts w:eastAsia="Cambria"/>
          <w:b/>
          <w:bCs/>
          <w:color w:val="C00000"/>
          <w:sz w:val="22"/>
          <w:szCs w:val="22"/>
        </w:rPr>
        <w:t xml:space="preserve">Demais elementos: quando não forem contemplados, deve-se apresentar as justificativas relacionadas no próprio ETP. </w:t>
      </w:r>
    </w:p>
    <w:p>
      <w:pPr>
        <w:pStyle w:val="ListParagraph"/>
        <w:numPr>
          <w:ilvl w:val="1"/>
          <w:numId w:val="7"/>
        </w:numPr>
        <w:spacing w:lineRule="auto" w:line="360"/>
        <w:ind w:left="1134" w:hanging="360"/>
        <w:jc w:val="both"/>
        <w:rPr>
          <w:rFonts w:eastAsia="Cambria"/>
          <w:b/>
          <w:bCs/>
          <w:color w:val="C00000"/>
          <w:sz w:val="22"/>
          <w:szCs w:val="22"/>
        </w:rPr>
      </w:pPr>
      <w:r>
        <w:rPr>
          <w:rFonts w:eastAsia="Cambria"/>
          <w:b/>
          <w:bCs/>
          <w:color w:val="C00000"/>
          <w:sz w:val="22"/>
          <w:szCs w:val="22"/>
        </w:rPr>
        <w:t>Os itens I.1 e I.2 não são elementos do ETP mas são de preenchimento fundamental par a identificação das unidades e agente envolvidos.</w:t>
      </w:r>
    </w:p>
    <w:p>
      <w:pPr>
        <w:pStyle w:val="Normal"/>
        <w:spacing w:lineRule="auto" w:line="360"/>
        <w:jc w:val="both"/>
        <w:rPr>
          <w:rFonts w:eastAsia="Cambria"/>
          <w:color w:val="C00000"/>
          <w:sz w:val="22"/>
          <w:szCs w:val="22"/>
        </w:rPr>
      </w:pPr>
      <w:r>
        <w:rPr>
          <w:rFonts w:eastAsia="Cambria"/>
          <w:color w:val="C00000"/>
          <w:sz w:val="22"/>
          <w:szCs w:val="22"/>
        </w:rPr>
      </w:r>
    </w:p>
    <w:p>
      <w:pPr>
        <w:pStyle w:val="Normal"/>
        <w:spacing w:lineRule="auto" w:line="360"/>
        <w:jc w:val="both"/>
        <w:rPr>
          <w:rFonts w:eastAsia="Cambria"/>
          <w:i/>
          <w:i/>
          <w:iCs/>
          <w:color w:val="C00000"/>
          <w:sz w:val="22"/>
          <w:szCs w:val="22"/>
        </w:rPr>
      </w:pPr>
      <w:r>
        <w:rPr>
          <w:rFonts w:eastAsia="Cambria"/>
          <w:i/>
          <w:iCs/>
          <w:color w:val="C00000"/>
          <w:sz w:val="22"/>
          <w:szCs w:val="22"/>
        </w:rPr>
        <w:t>Os tópicos dessa minuta receberam notas explicavas destacadas para compreensão do agente ou setor responsável pela elaboração do estudo, que deverão ser suprimidas quando da finalização do documento.</w:t>
      </w:r>
    </w:p>
    <w:p>
      <w:pPr>
        <w:pStyle w:val="Normal"/>
        <w:spacing w:lineRule="auto" w:line="360"/>
        <w:jc w:val="both"/>
        <w:rPr>
          <w:rFonts w:eastAsia="Cambria"/>
          <w:i/>
          <w:i/>
          <w:iCs/>
          <w:color w:val="C00000"/>
          <w:sz w:val="22"/>
          <w:szCs w:val="22"/>
        </w:rPr>
      </w:pPr>
      <w:r>
        <w:rPr>
          <w:rFonts w:eastAsia="Cambria"/>
          <w:i/>
          <w:iCs/>
          <w:color w:val="C00000"/>
          <w:sz w:val="22"/>
          <w:szCs w:val="22"/>
        </w:rPr>
      </w:r>
    </w:p>
    <w:p>
      <w:pPr>
        <w:pStyle w:val="Normal"/>
        <w:spacing w:lineRule="auto" w:line="360"/>
        <w:jc w:val="both"/>
        <w:rPr>
          <w:rFonts w:eastAsia="Cambria"/>
          <w:i/>
          <w:i/>
          <w:iCs/>
          <w:color w:val="FF0000"/>
        </w:rPr>
      </w:pPr>
      <w:r>
        <w:rPr>
          <w:rFonts w:eastAsia="Cambria"/>
          <w:i/>
          <w:iCs/>
          <w:color w:val="C00000"/>
          <w:sz w:val="22"/>
          <w:szCs w:val="22"/>
        </w:rPr>
        <w:t xml:space="preserve">Esse texto em vermelho não integra a redação final da minuta e deve ser excluído, assim como todos os comentários destacados ao longo do documento. </w:t>
      </w:r>
    </w:p>
    <w:p>
      <w:pPr>
        <w:pStyle w:val="Normal"/>
        <w:spacing w:lineRule="auto" w:line="360"/>
        <w:jc w:val="both"/>
        <w:rPr>
          <w:rFonts w:eastAsia="Cambria"/>
          <w:i/>
          <w:i/>
          <w:iCs/>
          <w:color w:val="FF0000"/>
        </w:rPr>
      </w:pPr>
      <w:r>
        <w:rPr>
          <w:rFonts w:eastAsia="Cambria"/>
          <w:i/>
          <w:iCs/>
          <w:color w:val="FF0000"/>
        </w:rPr>
      </w:r>
    </w:p>
    <w:p>
      <w:pPr>
        <w:pStyle w:val="Default"/>
        <w:shd w:val="clear" w:color="auto" w:fill="7F7F7F" w:themeFill="text1" w:themeFillTint="80"/>
        <w:spacing w:lineRule="auto" w:line="360"/>
        <w:rPr>
          <w:rFonts w:ascii="Times New Roman" w:hAnsi="Times New Roman" w:cs="Times New Roman"/>
          <w:b/>
          <w:bCs/>
          <w:color w:val="FFFFFF" w:themeColor="background1"/>
        </w:rPr>
      </w:pPr>
      <w:r>
        <w:rPr>
          <w:rFonts w:cs="Times New Roman" w:ascii="Times New Roman" w:hAnsi="Times New Roman"/>
          <w:b/>
          <w:bCs/>
          <w:color w:val="FFFFFF" w:themeColor="background1"/>
        </w:rPr>
        <w:t>I – INFORMAÇÕES GERAIS</w:t>
      </w:r>
    </w:p>
    <w:p>
      <w:pPr>
        <w:pStyle w:val="Default"/>
        <w:spacing w:lineRule="auto" w:line="360"/>
        <w:rPr>
          <w:rFonts w:ascii="Times New Roman" w:hAnsi="Times New Roman" w:cs="Times New Roman"/>
          <w:color w:val="auto"/>
        </w:rPr>
      </w:pPr>
      <w:r>
        <w:rPr>
          <w:rFonts w:cs="Times New Roman" w:ascii="Times New Roman" w:hAnsi="Times New Roman"/>
          <w:color w:val="auto"/>
        </w:rPr>
      </w:r>
    </w:p>
    <w:p>
      <w:pPr>
        <w:pStyle w:val="Normal"/>
        <w:numPr>
          <w:ilvl w:val="0"/>
          <w:numId w:val="2"/>
        </w:numPr>
        <w:pBdr/>
        <w:spacing w:lineRule="auto" w:line="360"/>
        <w:ind w:left="567" w:hanging="0"/>
        <w:jc w:val="both"/>
        <w:rPr>
          <w:b/>
          <w:bCs/>
          <w:color w:val="000000"/>
        </w:rPr>
      </w:pPr>
      <w:r>
        <w:rPr>
          <w:b/>
          <w:bCs/>
          <w:color w:val="000000" w:themeColor="text1"/>
        </w:rPr>
        <w:t>Identificação do processo e solicitante</w:t>
      </w:r>
    </w:p>
    <w:p>
      <w:pPr>
        <w:pStyle w:val="Normal"/>
        <w:pBdr/>
        <w:spacing w:lineRule="auto" w:line="360"/>
        <w:jc w:val="both"/>
        <w:rPr/>
      </w:pPr>
      <w:r>
        <w:rPr>
          <w:b/>
          <w:bCs/>
        </w:rPr>
        <w:t>Número do processo SEI!:</w:t>
      </w:r>
      <w:r>
        <w:rPr/>
        <w:t xml:space="preserve"> </w:t>
      </w:r>
    </w:p>
    <w:p>
      <w:pPr>
        <w:pStyle w:val="Normal"/>
        <w:spacing w:lineRule="auto" w:line="360"/>
        <w:jc w:val="both"/>
        <w:rPr>
          <w:b/>
          <w:bCs/>
          <w:color w:val="000000" w:themeColor="text1"/>
        </w:rPr>
      </w:pPr>
      <w:r>
        <w:rPr>
          <w:b/>
          <w:bCs/>
          <w:color w:val="000000" w:themeColor="text1"/>
        </w:rPr>
        <w:t xml:space="preserve">Número da Solicitação no Portal de Compras MG: </w:t>
      </w:r>
    </w:p>
    <w:p>
      <w:pPr>
        <w:pStyle w:val="Normal"/>
        <w:spacing w:lineRule="auto" w:line="360"/>
        <w:jc w:val="both"/>
        <w:rPr>
          <w:color w:val="000000" w:themeColor="text1"/>
        </w:rPr>
      </w:pPr>
      <w:r>
        <w:rPr>
          <w:b/>
          <w:bCs/>
          <w:color w:val="000000" w:themeColor="text1"/>
        </w:rPr>
        <w:t>Área solicitante:</w:t>
      </w:r>
      <w:r>
        <w:rPr/>
        <w:t xml:space="preserve"> </w:t>
      </w:r>
    </w:p>
    <w:p>
      <w:pPr>
        <w:pStyle w:val="Normal"/>
        <w:spacing w:lineRule="auto" w:line="360"/>
        <w:ind w:firstLine="709"/>
        <w:jc w:val="both"/>
        <w:rPr>
          <w:color w:val="000000"/>
        </w:rPr>
      </w:pPr>
      <w:r>
        <w:rPr>
          <w:color w:val="000000"/>
        </w:rPr>
      </w:r>
    </w:p>
    <w:p>
      <w:pPr>
        <w:pStyle w:val="Normal"/>
        <w:numPr>
          <w:ilvl w:val="0"/>
          <w:numId w:val="2"/>
        </w:numPr>
        <w:pBdr/>
        <w:spacing w:lineRule="auto" w:line="360"/>
        <w:ind w:left="567" w:hanging="0"/>
        <w:jc w:val="both"/>
        <w:rPr>
          <w:b/>
          <w:bCs/>
          <w:color w:val="000000"/>
        </w:rPr>
      </w:pPr>
      <w:r>
        <w:rPr>
          <w:b/>
          <w:bCs/>
          <w:color w:val="000000" w:themeColor="text1"/>
        </w:rPr>
        <w:t xml:space="preserve">Equipe de Planejamento da Contratação: </w:t>
      </w:r>
    </w:p>
    <w:p>
      <w:pPr>
        <w:pStyle w:val="Normal"/>
        <w:spacing w:lineRule="auto" w:line="360"/>
        <w:jc w:val="both"/>
        <w:rPr/>
      </w:pPr>
      <w:r>
        <w:rPr>
          <w:b/>
          <w:bCs/>
        </w:rPr>
        <w:t>Documento(s) de designação (número SEI!):</w:t>
      </w:r>
      <w:r>
        <w:rPr/>
        <w:t xml:space="preserve"> </w:t>
      </w:r>
    </w:p>
    <w:p>
      <w:pPr>
        <w:pStyle w:val="Normal"/>
        <w:spacing w:lineRule="auto" w:line="360"/>
        <w:jc w:val="both"/>
        <w:rPr/>
      </w:pPr>
      <w:r>
        <w:rPr/>
      </w:r>
    </w:p>
    <w:p>
      <w:pPr>
        <w:pStyle w:val="Normal"/>
        <w:spacing w:lineRule="auto" w:line="360"/>
        <w:jc w:val="both"/>
        <w:rPr>
          <w:rFonts w:eastAsia="Cambria"/>
          <w:color w:val="C00000"/>
          <w:sz w:val="22"/>
          <w:szCs w:val="22"/>
        </w:rPr>
      </w:pPr>
      <w:r>
        <w:rPr>
          <w:rFonts w:eastAsia="Cambria"/>
          <w:b/>
          <w:bCs/>
          <w:color w:val="C00000"/>
          <w:sz w:val="22"/>
          <w:szCs w:val="22"/>
        </w:rPr>
        <w:t>Nota Explicativa:</w:t>
      </w:r>
      <w:r>
        <w:rPr>
          <w:rFonts w:eastAsia="Cambria"/>
          <w:color w:val="C00000"/>
          <w:sz w:val="22"/>
          <w:szCs w:val="22"/>
        </w:rPr>
        <w:t xml:space="preserve"> </w:t>
      </w:r>
    </w:p>
    <w:p>
      <w:pPr>
        <w:pStyle w:val="Normal"/>
        <w:spacing w:lineRule="auto" w:line="360"/>
        <w:jc w:val="both"/>
        <w:rPr>
          <w:rFonts w:eastAsia="Cambria"/>
          <w:color w:val="C00000"/>
          <w:sz w:val="22"/>
          <w:szCs w:val="22"/>
        </w:rPr>
      </w:pPr>
      <w:r>
        <w:rPr>
          <w:rFonts w:eastAsia="Cambria"/>
          <w:color w:val="C00000"/>
          <w:sz w:val="22"/>
          <w:szCs w:val="22"/>
        </w:rPr>
        <w:t xml:space="preserve">A Equipe de Planejamento da Contratação é composta por integrantes das áreas solicitante, técnica e de contratação,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 (art. 3º, VII, da Resolução SEPLAG nº. 115/2021). </w:t>
      </w:r>
    </w:p>
    <w:p>
      <w:pPr>
        <w:pStyle w:val="Normal"/>
        <w:spacing w:lineRule="auto" w:line="360"/>
        <w:jc w:val="both"/>
        <w:rPr>
          <w:rFonts w:eastAsia="Cambria"/>
          <w:color w:val="C00000"/>
          <w:sz w:val="22"/>
          <w:szCs w:val="22"/>
        </w:rPr>
      </w:pPr>
      <w:r>
        <w:rPr>
          <w:rFonts w:eastAsia="Cambria"/>
          <w:color w:val="C00000"/>
          <w:sz w:val="22"/>
          <w:szCs w:val="22"/>
        </w:rPr>
        <w:t>Os arts. 3º, incisos I a III, e 5º da Resolução SEPLAG nº. 115/2021 apresentam os conceitos e diretrizes sobre a composição e atuação da equipe.</w:t>
      </w:r>
    </w:p>
    <w:p>
      <w:pPr>
        <w:pStyle w:val="Normal"/>
        <w:spacing w:lineRule="auto" w:line="360"/>
        <w:jc w:val="both"/>
        <w:rPr>
          <w:color w:val="C00000"/>
          <w:sz w:val="22"/>
          <w:szCs w:val="22"/>
        </w:rPr>
      </w:pPr>
      <w:r>
        <w:rPr>
          <w:color w:val="C00000"/>
          <w:sz w:val="22"/>
          <w:szCs w:val="22"/>
        </w:rPr>
        <w:t>Sugere-se que sejam indicados, para cada área, um titular e um suplente, a fim de evitar descontinuidade no andamento do processo, sendo recomendável informar nome completo, matrícula, unidade de atuação, informações de contato (e-mail, telefone etc.).</w:t>
      </w:r>
    </w:p>
    <w:p>
      <w:pPr>
        <w:pStyle w:val="Normal"/>
        <w:spacing w:lineRule="auto" w:line="360"/>
        <w:jc w:val="both"/>
        <w:rPr>
          <w:color w:val="C00000"/>
          <w:sz w:val="22"/>
          <w:szCs w:val="22"/>
        </w:rPr>
      </w:pPr>
      <w:r>
        <w:rPr>
          <w:color w:val="C00000"/>
          <w:sz w:val="22"/>
          <w:szCs w:val="22"/>
        </w:rPr>
        <w:t xml:space="preserve">A Resolução </w:t>
      </w:r>
      <w:r>
        <w:rPr>
          <w:rFonts w:eastAsia="Cambria"/>
          <w:color w:val="C00000"/>
          <w:sz w:val="22"/>
          <w:szCs w:val="22"/>
        </w:rPr>
        <w:t>SEPLAG nº. 115/2021</w:t>
      </w:r>
      <w:r>
        <w:rPr>
          <w:color w:val="C00000"/>
          <w:sz w:val="22"/>
          <w:szCs w:val="22"/>
        </w:rPr>
        <w:t xml:space="preserve"> sugere que a indicação ocorra nos autos do processo administrativo pelas autoridades competentes, em atenção aos princípios da simplicidade e eficiência. Porém, por conveniência e oportunidade, a autoridade competente pode optar por outros meios como Portaria e/ou Resolução.</w:t>
      </w:r>
    </w:p>
    <w:p>
      <w:pPr>
        <w:pStyle w:val="Normal"/>
        <w:spacing w:lineRule="auto" w:line="360"/>
        <w:jc w:val="both"/>
        <w:rPr>
          <w:color w:val="FF0000"/>
          <w:sz w:val="22"/>
          <w:szCs w:val="22"/>
        </w:rPr>
      </w:pPr>
      <w:r>
        <w:rPr>
          <w:color w:val="FF0000"/>
          <w:sz w:val="22"/>
          <w:szCs w:val="22"/>
        </w:rPr>
      </w:r>
    </w:p>
    <w:p>
      <w:pPr>
        <w:pStyle w:val="Default"/>
        <w:shd w:val="clear" w:color="auto" w:fill="7F7F7F" w:themeFill="text1" w:themeFillTint="80"/>
        <w:spacing w:lineRule="auto" w:line="360"/>
        <w:rPr>
          <w:rFonts w:ascii="Times New Roman" w:hAnsi="Times New Roman" w:cs="Times New Roman"/>
          <w:b/>
          <w:bCs/>
          <w:color w:val="FFFFFF" w:themeColor="background1"/>
        </w:rPr>
      </w:pPr>
      <w:r>
        <w:rPr>
          <w:rFonts w:cs="Times New Roman" w:ascii="Times New Roman" w:hAnsi="Times New Roman"/>
          <w:b/>
          <w:bCs/>
          <w:color w:val="FFFFFF" w:themeColor="background1"/>
        </w:rPr>
        <w:t>II – DIAGNÓSTICO DA SITUAÇÃO ATUAL</w:t>
      </w:r>
    </w:p>
    <w:p>
      <w:pPr>
        <w:pStyle w:val="Normal"/>
        <w:spacing w:lineRule="auto" w:line="360"/>
        <w:ind w:firstLine="709"/>
        <w:jc w:val="both"/>
        <w:rPr>
          <w:color w:val="000000" w:themeColor="text1"/>
        </w:rPr>
      </w:pPr>
      <w:r>
        <w:rPr>
          <w:color w:val="000000" w:themeColor="text1"/>
        </w:rPr>
      </w:r>
    </w:p>
    <w:p>
      <w:pPr>
        <w:pStyle w:val="Normal"/>
        <w:numPr>
          <w:ilvl w:val="0"/>
          <w:numId w:val="10"/>
        </w:numPr>
        <w:pBdr/>
        <w:spacing w:lineRule="auto" w:line="360"/>
        <w:jc w:val="both"/>
        <w:rPr>
          <w:b/>
          <w:bCs/>
          <w:color w:val="000000" w:themeColor="text1"/>
        </w:rPr>
      </w:pPr>
      <w:r>
        <w:rPr>
          <w:b/>
          <w:bCs/>
          <w:color w:val="000000" w:themeColor="text1"/>
        </w:rPr>
        <w:t>Descrição do problema a ser resolvido ou da necessidade apresentada (PREENCHIMENTO OBRIGATÓRIO) (art. 6º, I e IV)</w:t>
      </w:r>
    </w:p>
    <w:p>
      <w:pPr>
        <w:pStyle w:val="Normal"/>
        <w:spacing w:lineRule="auto" w:line="360"/>
        <w:jc w:val="both"/>
        <w:rPr>
          <w:rFonts w:eastAsia="Cambria"/>
          <w:b/>
          <w:bCs/>
          <w:color w:val="FF0000"/>
          <w:sz w:val="22"/>
          <w:szCs w:val="22"/>
        </w:rPr>
      </w:pPr>
      <w:r>
        <w:rPr>
          <w:rFonts w:eastAsia="Cambria"/>
          <w:b/>
          <w:bCs/>
          <w:color w:val="FF0000"/>
          <w:sz w:val="22"/>
          <w:szCs w:val="22"/>
        </w:rPr>
      </w:r>
    </w:p>
    <w:p>
      <w:pPr>
        <w:pStyle w:val="Normal"/>
        <w:spacing w:lineRule="auto" w:line="360"/>
        <w:jc w:val="both"/>
        <w:rPr>
          <w:rFonts w:eastAsia="Cambria"/>
          <w:color w:val="C00000"/>
          <w:sz w:val="22"/>
          <w:szCs w:val="22"/>
        </w:rPr>
      </w:pPr>
      <w:r>
        <w:rPr>
          <w:rFonts w:eastAsia="Cambria"/>
          <w:b/>
          <w:bCs/>
          <w:color w:val="C00000"/>
          <w:sz w:val="22"/>
          <w:szCs w:val="22"/>
        </w:rPr>
        <w:t>Nota Explicativa:</w:t>
      </w:r>
      <w:r>
        <w:rPr>
          <w:rFonts w:eastAsia="Cambria"/>
          <w:color w:val="C00000"/>
          <w:sz w:val="22"/>
          <w:szCs w:val="22"/>
        </w:rPr>
        <w:t xml:space="preserve"> Esse item visa atender a </w:t>
      </w:r>
      <w:r>
        <w:rPr>
          <w:rFonts w:eastAsia="Cambria"/>
          <w:b/>
          <w:bCs/>
          <w:color w:val="C00000"/>
          <w:sz w:val="22"/>
          <w:szCs w:val="22"/>
          <w:u w:val="single"/>
        </w:rPr>
        <w:t>dois elementos obrigatórios</w:t>
      </w:r>
      <w:r>
        <w:rPr>
          <w:rFonts w:eastAsia="Cambria"/>
          <w:color w:val="C00000"/>
          <w:sz w:val="22"/>
          <w:szCs w:val="22"/>
        </w:rPr>
        <w:t xml:space="preserve"> do ETP, a saber:  </w:t>
      </w:r>
    </w:p>
    <w:p>
      <w:pPr>
        <w:pStyle w:val="ListParagraph"/>
        <w:numPr>
          <w:ilvl w:val="0"/>
          <w:numId w:val="8"/>
        </w:numPr>
        <w:spacing w:lineRule="auto" w:line="360"/>
        <w:jc w:val="both"/>
        <w:rPr>
          <w:rFonts w:eastAsia="Cambria"/>
          <w:color w:val="C00000"/>
          <w:sz w:val="22"/>
          <w:szCs w:val="22"/>
        </w:rPr>
      </w:pPr>
      <w:r>
        <w:rPr>
          <w:rFonts w:eastAsia="Cambria"/>
          <w:b/>
          <w:bCs/>
          <w:color w:val="C00000"/>
          <w:sz w:val="22"/>
          <w:szCs w:val="22"/>
        </w:rPr>
        <w:t>Art. 6º, inciso I</w:t>
      </w:r>
      <w:r>
        <w:rPr>
          <w:rFonts w:eastAsia="Cambria"/>
          <w:color w:val="C00000"/>
          <w:sz w:val="22"/>
          <w:szCs w:val="22"/>
        </w:rPr>
        <w:t>: descrição da necessidade da contratação, considerado o problema a ser resolvido sob a perspectiva do interesse público</w:t>
      </w:r>
    </w:p>
    <w:p>
      <w:pPr>
        <w:pStyle w:val="ListParagraph"/>
        <w:numPr>
          <w:ilvl w:val="1"/>
          <w:numId w:val="8"/>
        </w:numPr>
        <w:spacing w:lineRule="auto" w:line="360"/>
        <w:jc w:val="both"/>
        <w:rPr>
          <w:rFonts w:eastAsia="Cambria"/>
          <w:color w:val="C00000"/>
          <w:sz w:val="22"/>
          <w:szCs w:val="22"/>
        </w:rPr>
      </w:pPr>
      <w:r>
        <w:rPr>
          <w:rFonts w:eastAsia="Cambria"/>
          <w:color w:val="C00000"/>
          <w:sz w:val="22"/>
          <w:szCs w:val="22"/>
        </w:rPr>
        <w:t>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execução contratual etc.); unidades envolvidas; valor já desprendido pela Administração; dentre outros.</w:t>
      </w:r>
    </w:p>
    <w:p>
      <w:pPr>
        <w:pStyle w:val="ListParagraph"/>
        <w:numPr>
          <w:ilvl w:val="1"/>
          <w:numId w:val="8"/>
        </w:numPr>
        <w:spacing w:lineRule="auto" w:line="360"/>
        <w:jc w:val="both"/>
        <w:rPr>
          <w:rFonts w:eastAsia="Cambria"/>
          <w:color w:val="C00000"/>
          <w:sz w:val="22"/>
          <w:szCs w:val="22"/>
        </w:rPr>
      </w:pPr>
      <w:r>
        <w:rPr>
          <w:color w:val="C00000"/>
          <w:sz w:val="22"/>
          <w:szCs w:val="22"/>
        </w:rPr>
        <w:t>Fica a critério da Equipe apresentar tabelas, gráficos e outros elementos que contribuam para uma descrição da situação.</w:t>
      </w:r>
    </w:p>
    <w:p>
      <w:pPr>
        <w:pStyle w:val="ListParagraph"/>
        <w:spacing w:lineRule="auto" w:line="360"/>
        <w:ind w:left="360" w:hanging="0"/>
        <w:jc w:val="both"/>
        <w:rPr>
          <w:rFonts w:eastAsia="Cambria"/>
          <w:color w:val="C00000"/>
          <w:sz w:val="22"/>
          <w:szCs w:val="22"/>
        </w:rPr>
      </w:pPr>
      <w:r>
        <w:rPr>
          <w:rFonts w:eastAsia="Cambria"/>
          <w:color w:val="C00000"/>
          <w:sz w:val="22"/>
          <w:szCs w:val="22"/>
        </w:rPr>
      </w:r>
    </w:p>
    <w:p>
      <w:pPr>
        <w:pStyle w:val="ListParagraph"/>
        <w:numPr>
          <w:ilvl w:val="0"/>
          <w:numId w:val="8"/>
        </w:numPr>
        <w:spacing w:lineRule="auto" w:line="360"/>
        <w:jc w:val="both"/>
        <w:rPr>
          <w:rFonts w:eastAsia="Cambria"/>
          <w:color w:val="C00000"/>
          <w:sz w:val="22"/>
          <w:szCs w:val="22"/>
        </w:rPr>
      </w:pPr>
      <w:r>
        <w:rPr>
          <w:rFonts w:eastAsia="Cambria"/>
          <w:b/>
          <w:bCs/>
          <w:color w:val="C00000"/>
          <w:sz w:val="22"/>
          <w:szCs w:val="22"/>
        </w:rPr>
        <w:t>Art. 6º, inciso IV</w:t>
      </w:r>
      <w:r>
        <w:rPr>
          <w:rFonts w:eastAsia="Cambria"/>
          <w:color w:val="C00000"/>
          <w:sz w:val="22"/>
          <w:szCs w:val="22"/>
        </w:rPr>
        <w:t>: estimativas das quantidades a serem potencialmente contratadas, acompanhadas das memórias de cálculo e dos documentos que lhe dão suporte, que considerem interdependências com outras contratações, de modo a possibilitar economia de escala</w:t>
      </w:r>
    </w:p>
    <w:p>
      <w:pPr>
        <w:pStyle w:val="ListParagraph"/>
        <w:numPr>
          <w:ilvl w:val="1"/>
          <w:numId w:val="8"/>
        </w:numPr>
        <w:spacing w:lineRule="auto" w:line="360"/>
        <w:jc w:val="both"/>
        <w:rPr>
          <w:rFonts w:eastAsia="Arial"/>
          <w:color w:val="C00000"/>
          <w:sz w:val="22"/>
          <w:szCs w:val="22"/>
        </w:rPr>
      </w:pPr>
      <w:r>
        <w:rPr>
          <w:color w:val="C00000"/>
          <w:sz w:val="22"/>
          <w:szCs w:val="22"/>
        </w:rPr>
        <w:t xml:space="preserve">Justificar, em observância ao disposto pelo Artigo 15, §7º, inciso II, da Lei Federal nº. 8.666/93, as quantidades a serem adquiridas em função do consumo, devendo tal estimativa ser obtida a partir de fatos concretos (exemplos: série histórica do consumo, com atenção para eventuais ocorrências vindouras capazes de impactar os quantitativos demandados; criação de setor; acréscimo de atividades; necessidade de substituição de bens/serviços atualmente disponíveis etc.). </w:t>
      </w:r>
    </w:p>
    <w:p>
      <w:pPr>
        <w:pStyle w:val="ListParagraph"/>
        <w:numPr>
          <w:ilvl w:val="1"/>
          <w:numId w:val="8"/>
        </w:numPr>
        <w:spacing w:lineRule="auto" w:line="360"/>
        <w:jc w:val="both"/>
        <w:rPr>
          <w:rFonts w:eastAsia="Arial"/>
          <w:color w:val="C00000"/>
          <w:sz w:val="22"/>
          <w:szCs w:val="22"/>
        </w:rPr>
      </w:pPr>
      <w:r>
        <w:rPr>
          <w:rFonts w:eastAsia="Arial"/>
          <w:color w:val="C00000"/>
          <w:sz w:val="22"/>
          <w:szCs w:val="22"/>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pPr>
        <w:pStyle w:val="ListParagraph"/>
        <w:numPr>
          <w:ilvl w:val="1"/>
          <w:numId w:val="8"/>
        </w:numPr>
        <w:spacing w:lineRule="auto" w:line="360"/>
        <w:jc w:val="both"/>
        <w:rPr>
          <w:rFonts w:eastAsia="Arial"/>
          <w:color w:val="C00000"/>
          <w:sz w:val="22"/>
          <w:szCs w:val="22"/>
        </w:rPr>
      </w:pPr>
      <w:r>
        <w:rPr>
          <w:rFonts w:eastAsia="Arial"/>
          <w:color w:val="C00000"/>
          <w:sz w:val="22"/>
          <w:szCs w:val="22"/>
        </w:rPr>
        <w:t xml:space="preserve"> “</w:t>
      </w:r>
      <w:r>
        <w:rPr>
          <w:rFonts w:eastAsia="Arial"/>
          <w:i/>
          <w:iCs/>
          <w:color w:val="C00000"/>
          <w:sz w:val="22"/>
          <w:szCs w:val="22"/>
        </w:rPr>
        <w:t>A Administração tem o dever de estimar os quantitativos da contratação, de modo fundamentado. Essa estimativa deve tomar em vista a eventual existência de outras contratações (correlatas ou interdependentes), inclusive para propiciar ganhos de escala</w:t>
      </w:r>
      <w:r>
        <w:rPr>
          <w:rFonts w:eastAsia="Arial"/>
          <w:color w:val="C00000"/>
          <w:sz w:val="22"/>
          <w:szCs w:val="22"/>
        </w:rPr>
        <w:t>” (FILHO, Marçal Justen. Comentários à Lei de Licitações e Contratações Administrativas: Lei 14.133/2021. São Paulo: Thomson Reuters Brasil, 2021).</w:t>
      </w:r>
    </w:p>
    <w:p>
      <w:pPr>
        <w:pStyle w:val="Normal"/>
        <w:spacing w:lineRule="auto" w:line="360"/>
        <w:jc w:val="both"/>
        <w:rPr/>
      </w:pPr>
      <w:r>
        <w:rPr/>
      </w:r>
    </w:p>
    <w:p>
      <w:pPr>
        <w:pStyle w:val="Normal"/>
        <w:numPr>
          <w:ilvl w:val="0"/>
          <w:numId w:val="10"/>
        </w:numPr>
        <w:pBdr/>
        <w:spacing w:lineRule="auto" w:line="360"/>
        <w:jc w:val="both"/>
        <w:rPr>
          <w:b/>
          <w:bCs/>
          <w:color w:val="000000" w:themeColor="text1"/>
        </w:rPr>
      </w:pPr>
      <w:r>
        <w:rPr>
          <w:b/>
          <w:bCs/>
          <w:color w:val="000000" w:themeColor="text1"/>
        </w:rPr>
        <w:t>Alinhamento entre a contratação e o planejamento da Administração (art. 6º, II)</w:t>
      </w:r>
    </w:p>
    <w:p>
      <w:pPr>
        <w:pStyle w:val="Normal"/>
        <w:spacing w:lineRule="auto" w:line="360"/>
        <w:jc w:val="both"/>
        <w:rPr>
          <w:b/>
          <w:bCs/>
          <w:color w:val="FF0000"/>
          <w:sz w:val="22"/>
          <w:szCs w:val="22"/>
        </w:rPr>
      </w:pPr>
      <w:r>
        <w:rPr>
          <w:b/>
          <w:bCs/>
          <w:color w:val="FF0000"/>
          <w:sz w:val="22"/>
          <w:szCs w:val="22"/>
        </w:rPr>
      </w:r>
    </w:p>
    <w:p>
      <w:pPr>
        <w:pStyle w:val="Normal"/>
        <w:spacing w:lineRule="auto" w:line="360"/>
        <w:jc w:val="both"/>
        <w:rPr>
          <w:color w:val="C00000"/>
          <w:sz w:val="22"/>
          <w:szCs w:val="22"/>
        </w:rPr>
      </w:pPr>
      <w:r>
        <w:rPr>
          <w:b/>
          <w:bCs/>
          <w:color w:val="C00000"/>
          <w:sz w:val="22"/>
          <w:szCs w:val="22"/>
        </w:rPr>
        <w:t>Nota Explicativa:</w:t>
      </w:r>
      <w:r>
        <w:rPr>
          <w:color w:val="C00000"/>
          <w:sz w:val="22"/>
          <w:szCs w:val="22"/>
        </w:rPr>
        <w:t xml:space="preserve"> Demonstração do alinhamento entre a potencial contratação e o planejamento do órgão/entidade, identificando a previsão da contratação no Planejamento Anual de Compras (Resolução SEPLAG nº. 14/2014) ou, se for o caso, justificando a ausência da previsão.</w:t>
      </w:r>
    </w:p>
    <w:p>
      <w:pPr>
        <w:pStyle w:val="Normal"/>
        <w:spacing w:lineRule="auto" w:line="360"/>
        <w:jc w:val="both"/>
        <w:rPr>
          <w:b/>
          <w:bCs/>
          <w:i/>
          <w:i/>
          <w:iCs/>
          <w:color w:val="C00000"/>
          <w:sz w:val="22"/>
          <w:szCs w:val="22"/>
          <w:u w:val="single"/>
        </w:rPr>
      </w:pPr>
      <w:r>
        <w:rPr>
          <w:color w:val="C00000"/>
          <w:sz w:val="22"/>
          <w:szCs w:val="22"/>
        </w:rPr>
        <w:t>Se a contratação não estiver prevista no Planejamento, foi previamente aprovada pela autoridade competente?</w:t>
        <w:br/>
      </w:r>
      <w:r>
        <w:rPr>
          <w:rFonts w:eastAsia="Cambria"/>
          <w:color w:val="C00000"/>
          <w:sz w:val="22"/>
          <w:szCs w:val="22"/>
        </w:rPr>
        <w:t xml:space="preserve">Esse item visa atender ao elemento previsto no </w:t>
      </w:r>
      <w:r>
        <w:rPr>
          <w:rFonts w:eastAsia="Cambria"/>
          <w:b/>
          <w:bCs/>
          <w:color w:val="C00000"/>
          <w:sz w:val="22"/>
          <w:szCs w:val="22"/>
        </w:rPr>
        <w:t xml:space="preserve">inciso II, do art. 6º </w:t>
      </w:r>
      <w:r>
        <w:rPr>
          <w:rFonts w:eastAsia="Cambria"/>
          <w:color w:val="C00000"/>
          <w:sz w:val="22"/>
          <w:szCs w:val="22"/>
        </w:rPr>
        <w:t xml:space="preserve">(demonstração da previsão da potencial contratação no plano de contratações anual, sempre que elaborado, de modo a indicar o seu alinhamento com o planejamento da Administração), da Resolução SEPLAG nº. 115/2021 e, </w:t>
      </w:r>
      <w:r>
        <w:rPr>
          <w:rFonts w:eastAsia="Cambria"/>
          <w:b/>
          <w:bCs/>
          <w:color w:val="C00000"/>
          <w:sz w:val="22"/>
          <w:szCs w:val="22"/>
          <w:u w:val="single"/>
        </w:rPr>
        <w:t>caso não seja preenchido, é necessária justificativa.</w:t>
      </w:r>
    </w:p>
    <w:p>
      <w:pPr>
        <w:pStyle w:val="Normal"/>
        <w:spacing w:lineRule="auto" w:line="360"/>
        <w:jc w:val="both"/>
        <w:rPr>
          <w:color w:val="FF0000"/>
          <w:sz w:val="22"/>
          <w:szCs w:val="22"/>
        </w:rPr>
      </w:pPr>
      <w:r>
        <w:rPr>
          <w:color w:val="FF0000"/>
          <w:sz w:val="22"/>
          <w:szCs w:val="22"/>
        </w:rPr>
      </w:r>
    </w:p>
    <w:p>
      <w:pPr>
        <w:pStyle w:val="Normal"/>
        <w:spacing w:lineRule="auto" w:line="360"/>
        <w:jc w:val="both"/>
        <w:rPr>
          <w:color w:val="FF0000"/>
          <w:sz w:val="22"/>
          <w:szCs w:val="22"/>
        </w:rPr>
      </w:pPr>
      <w:r>
        <w:rPr>
          <w:color w:val="FF0000"/>
          <w:sz w:val="22"/>
          <w:szCs w:val="22"/>
        </w:rPr>
      </w:r>
    </w:p>
    <w:p>
      <w:pPr>
        <w:pStyle w:val="Normal"/>
        <w:numPr>
          <w:ilvl w:val="0"/>
          <w:numId w:val="10"/>
        </w:numPr>
        <w:pBdr/>
        <w:spacing w:lineRule="auto" w:line="360"/>
        <w:jc w:val="both"/>
        <w:rPr>
          <w:b/>
          <w:bCs/>
          <w:color w:val="000000" w:themeColor="text1"/>
        </w:rPr>
      </w:pPr>
      <w:r>
        <w:rPr>
          <w:b/>
          <w:bCs/>
          <w:color w:val="000000" w:themeColor="text1"/>
        </w:rPr>
        <w:t>Descrição dos requisitos da potencial contratação (art. 6º, III)</w:t>
      </w:r>
    </w:p>
    <w:p>
      <w:pPr>
        <w:pStyle w:val="Normal"/>
        <w:widowControl w:val="false"/>
        <w:spacing w:lineRule="auto" w:line="360"/>
        <w:jc w:val="both"/>
        <w:rPr>
          <w:b/>
          <w:bCs/>
          <w:color w:val="FF0000"/>
          <w:sz w:val="22"/>
          <w:szCs w:val="22"/>
        </w:rPr>
      </w:pPr>
      <w:r>
        <w:rPr>
          <w:b/>
          <w:bCs/>
          <w:color w:val="FF0000"/>
          <w:sz w:val="22"/>
          <w:szCs w:val="22"/>
        </w:rPr>
      </w:r>
    </w:p>
    <w:p>
      <w:pPr>
        <w:pStyle w:val="Normal"/>
        <w:widowControl w:val="false"/>
        <w:spacing w:lineRule="auto" w:line="360"/>
        <w:jc w:val="both"/>
        <w:rPr>
          <w:color w:val="C00000"/>
          <w:sz w:val="22"/>
          <w:szCs w:val="22"/>
        </w:rPr>
      </w:pPr>
      <w:r>
        <w:rPr>
          <w:b/>
          <w:bCs/>
          <w:color w:val="C00000"/>
          <w:sz w:val="22"/>
          <w:szCs w:val="22"/>
        </w:rPr>
        <w:t>Nota explicativa:</w:t>
      </w:r>
      <w:r>
        <w:rPr>
          <w:color w:val="C00000"/>
          <w:sz w:val="22"/>
          <w:szCs w:val="22"/>
        </w:rPr>
        <w:t xml:space="preserve"> Nesta seção são apresentadas perguntas orientadoras, ficando a critério da Equipe de Planejamento da Contratação incluir outros parâmetros que julgue necessários para melhor detalhamento de requisitos. Fica a critério da Equipe preencher em texto corrido, por perguntas, incluir tabelas, gráficos e outros elementos que contribuam para a descrição.</w:t>
      </w:r>
    </w:p>
    <w:p>
      <w:pPr>
        <w:pStyle w:val="Normal"/>
        <w:widowControl w:val="false"/>
        <w:spacing w:lineRule="auto" w:line="360"/>
        <w:jc w:val="both"/>
        <w:rPr>
          <w:rFonts w:eastAsia="Cambria"/>
          <w:color w:val="C00000"/>
          <w:sz w:val="22"/>
          <w:szCs w:val="22"/>
        </w:rPr>
      </w:pPr>
      <w:r>
        <w:rPr>
          <w:rFonts w:eastAsia="Cambria"/>
          <w:color w:val="C00000"/>
          <w:sz w:val="22"/>
          <w:szCs w:val="22"/>
        </w:rPr>
        <w:t xml:space="preserve">Esse item visa atender ao elemento previsto no </w:t>
      </w:r>
      <w:r>
        <w:rPr>
          <w:rFonts w:eastAsia="Cambria"/>
          <w:b/>
          <w:bCs/>
          <w:color w:val="C00000"/>
          <w:sz w:val="22"/>
          <w:szCs w:val="22"/>
        </w:rPr>
        <w:t xml:space="preserve">inciso III, do art. 6º </w:t>
      </w:r>
      <w:r>
        <w:rPr>
          <w:rFonts w:eastAsia="Cambria"/>
          <w:color w:val="C00000"/>
          <w:sz w:val="22"/>
          <w:szCs w:val="22"/>
        </w:rPr>
        <w:t>(descrição dos requisitos da potencial contratação necessários e suficientes à escolha da solução), da Resolução SEPLAG nº. 115/2021 e, caso não seja preenchido, é necessária justificativa.</w:t>
      </w:r>
    </w:p>
    <w:p>
      <w:pPr>
        <w:pStyle w:val="ListParagraph"/>
        <w:widowControl w:val="false"/>
        <w:numPr>
          <w:ilvl w:val="0"/>
          <w:numId w:val="5"/>
        </w:numPr>
        <w:spacing w:lineRule="auto" w:line="360"/>
        <w:ind w:left="709" w:hanging="142"/>
        <w:jc w:val="both"/>
        <w:rPr>
          <w:b/>
          <w:bCs/>
          <w:color w:val="C00000"/>
        </w:rPr>
      </w:pPr>
      <w:r>
        <w:rPr>
          <w:b/>
          <w:bCs/>
          <w:color w:val="C00000"/>
        </w:rPr>
        <w:t>Quais são os requisitos necessários ao atendimento da necessidade?</w:t>
      </w:r>
    </w:p>
    <w:p>
      <w:pPr>
        <w:pStyle w:val="Normal"/>
        <w:widowControl w:val="false"/>
        <w:spacing w:lineRule="auto" w:line="360"/>
        <w:jc w:val="both"/>
        <w:rPr>
          <w:color w:val="C00000"/>
          <w:sz w:val="22"/>
          <w:szCs w:val="22"/>
        </w:rPr>
      </w:pPr>
      <w:r>
        <w:rPr>
          <w:b/>
          <w:bCs/>
          <w:color w:val="C00000"/>
          <w:sz w:val="22"/>
          <w:szCs w:val="22"/>
        </w:rPr>
        <w:t>Nota explicativa:</w:t>
      </w:r>
      <w:r>
        <w:rPr>
          <w:color w:val="C00000"/>
          <w:sz w:val="22"/>
          <w:szCs w:val="22"/>
        </w:rPr>
        <w:t xml:space="preserve"> Devem ser especificados os </w:t>
      </w:r>
      <w:r>
        <w:rPr>
          <w:b/>
          <w:bCs/>
          <w:color w:val="C00000"/>
          <w:sz w:val="22"/>
          <w:szCs w:val="22"/>
          <w:u w:val="single"/>
        </w:rPr>
        <w:t>requisitos indispensáveis</w:t>
      </w:r>
      <w:r>
        <w:rPr>
          <w:color w:val="C00000"/>
          <w:sz w:val="22"/>
          <w:szCs w:val="22"/>
        </w:rPr>
        <w:t xml:space="preserve"> que a solução a ser viabilizada deverá conter para atender à demanda, de forma a permitir a seleção da solução mais vantajosa e aderente à necessidade apresentada.</w:t>
      </w:r>
    </w:p>
    <w:p>
      <w:pPr>
        <w:pStyle w:val="Normal"/>
        <w:widowControl w:val="false"/>
        <w:spacing w:lineRule="auto" w:line="360"/>
        <w:jc w:val="both"/>
        <w:rPr>
          <w:color w:val="C00000"/>
          <w:sz w:val="22"/>
          <w:szCs w:val="22"/>
        </w:rPr>
      </w:pPr>
      <w:r>
        <w:rPr>
          <w:color w:val="C00000"/>
          <w:sz w:val="22"/>
          <w:szCs w:val="22"/>
        </w:rPr>
        <w:t>São exemplos de requisitos: fornecimento conjunto de materiais; disponibilização de solução de tecnologia da informação; demanda de corpo técnico especializado; relacionamento com fornecedor anterior para transferência de conhecimento/tecnologia etc.</w:t>
      </w:r>
    </w:p>
    <w:p>
      <w:pPr>
        <w:pStyle w:val="Normal"/>
        <w:widowControl w:val="false"/>
        <w:spacing w:lineRule="auto" w:line="360"/>
        <w:jc w:val="both"/>
        <w:rPr>
          <w:color w:val="C00000"/>
          <w:sz w:val="22"/>
          <w:szCs w:val="22"/>
        </w:rPr>
      </w:pPr>
      <w:r>
        <w:rPr>
          <w:color w:val="C00000"/>
          <w:sz w:val="22"/>
          <w:szCs w:val="22"/>
        </w:rPr>
        <w:t>Sendo possível, cabe incluir critérios e práticas de sustentabilidade que devem ser veiculados como especificações técnicas do objeto ou obrigação da potencial contratada (ou outro parceiro que atuará na sua viabilização).</w:t>
      </w:r>
    </w:p>
    <w:p>
      <w:pPr>
        <w:pStyle w:val="Normal"/>
        <w:widowControl w:val="false"/>
        <w:spacing w:lineRule="auto" w:line="360"/>
        <w:ind w:firstLine="709"/>
        <w:jc w:val="both"/>
        <w:rPr>
          <w:color w:val="C00000"/>
        </w:rPr>
      </w:pPr>
      <w:r>
        <w:rPr>
          <w:color w:val="C00000"/>
        </w:rPr>
      </w:r>
    </w:p>
    <w:p>
      <w:pPr>
        <w:pStyle w:val="Normal"/>
        <w:widowControl w:val="false"/>
        <w:numPr>
          <w:ilvl w:val="0"/>
          <w:numId w:val="4"/>
        </w:numPr>
        <w:spacing w:lineRule="auto" w:line="360"/>
        <w:ind w:left="567" w:hanging="0"/>
        <w:jc w:val="both"/>
        <w:rPr>
          <w:color w:val="C00000"/>
        </w:rPr>
      </w:pPr>
      <w:r>
        <w:rPr>
          <w:b/>
          <w:bCs/>
          <w:color w:val="C00000"/>
        </w:rPr>
        <w:t>Quais são os padrões mínimos de qualidade relativos ao objeto?</w:t>
      </w:r>
    </w:p>
    <w:p>
      <w:pPr>
        <w:pStyle w:val="Normal"/>
        <w:widowControl w:val="false"/>
        <w:numPr>
          <w:ilvl w:val="0"/>
          <w:numId w:val="4"/>
        </w:numPr>
        <w:spacing w:lineRule="auto" w:line="360"/>
        <w:ind w:left="567" w:hanging="0"/>
        <w:jc w:val="both"/>
        <w:rPr>
          <w:color w:val="C00000"/>
          <w:sz w:val="22"/>
          <w:szCs w:val="22"/>
        </w:rPr>
      </w:pPr>
      <w:r>
        <w:rPr>
          <w:b/>
          <w:bCs/>
          <w:color w:val="C00000"/>
          <w:sz w:val="22"/>
          <w:szCs w:val="22"/>
        </w:rPr>
        <w:t xml:space="preserve">Nota Explicativa: </w:t>
      </w:r>
      <w:r>
        <w:rPr>
          <w:color w:val="C00000"/>
          <w:sz w:val="22"/>
          <w:szCs w:val="22"/>
        </w:rPr>
        <w:t>Nesse campo devem ser consideradas especificações que a solução deverá apresentar, bem como necessidade de apresentação de amostras, realização de provas de conceito, dentre outros.</w:t>
      </w:r>
      <w:r>
        <w:rPr>
          <w:b/>
          <w:bCs/>
          <w:color w:val="C00000"/>
          <w:sz w:val="22"/>
          <w:szCs w:val="22"/>
        </w:rPr>
        <w:t>A solução deverá ser disponibilizada sem interrupções, implicando em uma possível contratação ou fornecimento continuado?</w:t>
      </w:r>
    </w:p>
    <w:p>
      <w:pPr>
        <w:pStyle w:val="Normal"/>
        <w:widowControl w:val="false"/>
        <w:spacing w:lineRule="auto" w:line="360"/>
        <w:jc w:val="both"/>
        <w:rPr>
          <w:color w:val="C00000"/>
          <w:sz w:val="22"/>
          <w:szCs w:val="22"/>
        </w:rPr>
      </w:pPr>
      <w:r>
        <w:rPr>
          <w:b/>
          <w:bCs/>
          <w:color w:val="C00000"/>
          <w:sz w:val="22"/>
          <w:szCs w:val="22"/>
        </w:rPr>
        <w:t>Nota explicativa:</w:t>
      </w:r>
      <w:r>
        <w:rPr>
          <w:color w:val="C00000"/>
          <w:sz w:val="22"/>
          <w:szCs w:val="22"/>
        </w:rPr>
        <w:t xml:space="preserve"> Para se caracterizar um serviço ou fornecimento como contínuo, </w:t>
      </w:r>
      <w:r>
        <w:rPr>
          <w:b/>
          <w:bCs/>
          <w:color w:val="C00000"/>
          <w:sz w:val="22"/>
          <w:szCs w:val="22"/>
          <w:u w:val="single"/>
        </w:rPr>
        <w:t>deve-se analisar a sua essencialidade e habitualidade para a contratante</w:t>
      </w:r>
      <w:r>
        <w:rPr>
          <w:color w:val="C00000"/>
          <w:sz w:val="22"/>
          <w:szCs w:val="22"/>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pPr>
        <w:pStyle w:val="Normal"/>
        <w:spacing w:lineRule="auto" w:line="360"/>
        <w:jc w:val="both"/>
        <w:rPr>
          <w:color w:val="C00000"/>
          <w:sz w:val="22"/>
          <w:szCs w:val="22"/>
        </w:rPr>
      </w:pPr>
      <w:r>
        <w:rPr>
          <w:color w:val="C00000"/>
          <w:sz w:val="22"/>
          <w:szCs w:val="22"/>
        </w:rPr>
        <w:t>A essencialidade se fundamenta nos danos e prejuízos que podem ser causados à Administração Pública no caso de eventual paralisação 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Destaca-se que, portanto, os serviços continuados podem ser vários, desde que presentes os requisitos da essencialidade e habitualidade, não existindo um rol taxativo para essa caracterização, já que cada necessidade deve ser analisada dentro de cada contexto fático.</w:t>
      </w:r>
    </w:p>
    <w:p>
      <w:pPr>
        <w:pStyle w:val="Normal"/>
        <w:spacing w:lineRule="auto" w:line="360"/>
        <w:ind w:firstLine="709"/>
        <w:jc w:val="both"/>
        <w:rPr>
          <w:color w:val="C00000"/>
        </w:rPr>
      </w:pPr>
      <w:r>
        <w:rPr>
          <w:color w:val="C00000"/>
        </w:rPr>
      </w:r>
    </w:p>
    <w:p>
      <w:pPr>
        <w:pStyle w:val="Normal"/>
        <w:widowControl w:val="false"/>
        <w:numPr>
          <w:ilvl w:val="0"/>
          <w:numId w:val="4"/>
        </w:numPr>
        <w:pBdr/>
        <w:spacing w:lineRule="auto" w:line="360"/>
        <w:ind w:left="567" w:hanging="0"/>
        <w:jc w:val="both"/>
        <w:rPr>
          <w:color w:val="C00000"/>
          <w:sz w:val="22"/>
          <w:szCs w:val="22"/>
        </w:rPr>
      </w:pPr>
      <w:r>
        <w:rPr>
          <w:b/>
          <w:bCs/>
          <w:color w:val="C00000"/>
          <w:sz w:val="22"/>
          <w:szCs w:val="22"/>
        </w:rPr>
        <w:t>Por quanto tempo a solução deverá ficar disponível à Administração (informação que influenciará a duração do contrato)?</w:t>
      </w:r>
    </w:p>
    <w:p>
      <w:pPr>
        <w:pStyle w:val="Normal"/>
        <w:widowControl w:val="false"/>
        <w:pBdr/>
        <w:spacing w:lineRule="auto" w:line="360"/>
        <w:jc w:val="both"/>
        <w:rPr>
          <w:color w:val="C00000"/>
          <w:sz w:val="22"/>
          <w:szCs w:val="22"/>
        </w:rPr>
      </w:pPr>
      <w:r>
        <w:rPr>
          <w:b/>
          <w:bCs/>
          <w:color w:val="C00000"/>
          <w:sz w:val="22"/>
          <w:szCs w:val="22"/>
        </w:rPr>
        <w:t>Nota explicativa:</w:t>
      </w:r>
      <w:r>
        <w:rPr>
          <w:color w:val="C00000"/>
          <w:sz w:val="22"/>
          <w:szCs w:val="22"/>
        </w:rPr>
        <w:t xml:space="preserve"> Na Lei Federal nº. 8.666/93, o Artigo 62 trata da obrigatoriedade ou não do instrumento de contrato, enquanto o Artigo 57 versa sobre a duração dos contratos administrativos (mas não excluem nem revogam os prazos previstos em lei especial).</w:t>
      </w:r>
    </w:p>
    <w:p>
      <w:pPr>
        <w:pStyle w:val="Normal"/>
        <w:pBdr/>
        <w:spacing w:lineRule="auto" w:line="360"/>
        <w:ind w:left="2268" w:hanging="0"/>
        <w:jc w:val="both"/>
        <w:rPr>
          <w:color w:val="C00000"/>
          <w:sz w:val="20"/>
          <w:szCs w:val="20"/>
        </w:rPr>
      </w:pPr>
      <w:r>
        <w:rPr>
          <w:color w:val="C00000"/>
          <w:sz w:val="20"/>
          <w:szCs w:val="20"/>
        </w:rPr>
        <w:t>Art. 57.  A duração dos contratos regidos por esta Lei ficará adstrita à vigência dos respectivos créditos orçamentários, exceto quanto aos relativos:</w:t>
      </w:r>
    </w:p>
    <w:p>
      <w:pPr>
        <w:pStyle w:val="Normal"/>
        <w:pBdr/>
        <w:spacing w:lineRule="auto" w:line="360"/>
        <w:ind w:left="2268" w:hanging="0"/>
        <w:jc w:val="both"/>
        <w:rPr>
          <w:color w:val="C00000"/>
          <w:sz w:val="20"/>
          <w:szCs w:val="20"/>
        </w:rPr>
      </w:pPr>
      <w:r>
        <w:rPr>
          <w:color w:val="C00000"/>
          <w:sz w:val="20"/>
          <w:szCs w:val="20"/>
        </w:rPr>
        <w:t>I - aos projetos cujos produtos estejam contemplados nas metas estabelecidas no Plano Plurianual, os quais poderão ser prorrogados se houver interesse da Administração e desde que isso tenha sido previsto no ato convocatório;</w:t>
      </w:r>
    </w:p>
    <w:p>
      <w:pPr>
        <w:pStyle w:val="Normal"/>
        <w:pBdr/>
        <w:spacing w:lineRule="auto" w:line="360"/>
        <w:ind w:left="2268" w:hanging="0"/>
        <w:jc w:val="both"/>
        <w:rPr>
          <w:color w:val="C00000"/>
          <w:sz w:val="20"/>
          <w:szCs w:val="20"/>
        </w:rPr>
      </w:pPr>
      <w:r>
        <w:rPr>
          <w:color w:val="C00000"/>
          <w:sz w:val="20"/>
          <w:szCs w:val="20"/>
        </w:rPr>
        <w:t>II - à prestação de serviços a serem executados de forma contínua, que poderão ter a sua duração prorrogada por iguais e sucessivos períodos com vistas à obtenção de preços e condições mais vantajosas para a administração, limitada a sessenta meses;</w:t>
      </w:r>
    </w:p>
    <w:p>
      <w:pPr>
        <w:pStyle w:val="Normal"/>
        <w:pBdr/>
        <w:spacing w:lineRule="auto" w:line="360"/>
        <w:ind w:left="2268" w:hanging="0"/>
        <w:jc w:val="both"/>
        <w:rPr>
          <w:color w:val="C00000"/>
          <w:sz w:val="20"/>
          <w:szCs w:val="20"/>
        </w:rPr>
      </w:pPr>
      <w:r>
        <w:rPr>
          <w:color w:val="C00000"/>
          <w:sz w:val="20"/>
          <w:szCs w:val="20"/>
        </w:rPr>
        <w:t>III - (Vetado).</w:t>
      </w:r>
    </w:p>
    <w:p>
      <w:pPr>
        <w:pStyle w:val="Normal"/>
        <w:pBdr/>
        <w:spacing w:lineRule="auto" w:line="360"/>
        <w:ind w:left="2268" w:hanging="0"/>
        <w:jc w:val="both"/>
        <w:rPr>
          <w:color w:val="C00000"/>
          <w:sz w:val="20"/>
          <w:szCs w:val="20"/>
        </w:rPr>
      </w:pPr>
      <w:r>
        <w:rPr>
          <w:color w:val="C00000"/>
          <w:sz w:val="20"/>
          <w:szCs w:val="20"/>
        </w:rPr>
        <w:t>IV - ao aluguel de equipamentos e à utilização de programas de informática, podendo a duração estender-se pelo prazo de até 48 (quarenta e oito) meses após o início da vigência do contrato.</w:t>
      </w:r>
    </w:p>
    <w:p>
      <w:pPr>
        <w:pStyle w:val="Normal"/>
        <w:pBdr/>
        <w:spacing w:lineRule="auto" w:line="360"/>
        <w:ind w:left="2268" w:hanging="0"/>
        <w:jc w:val="both"/>
        <w:rPr>
          <w:color w:val="C00000"/>
          <w:sz w:val="20"/>
          <w:szCs w:val="20"/>
        </w:rPr>
      </w:pPr>
      <w:r>
        <w:rPr>
          <w:color w:val="C00000"/>
          <w:sz w:val="20"/>
          <w:szCs w:val="20"/>
        </w:rPr>
        <w:t xml:space="preserve">V - às hipóteses previstas nos incisos IX, XIX, XXVIII e XXXI do art. 24, cujos contratos poderão ter vigência por até 120 (cento e vinte) meses, caso haja interesse da administração.       </w:t>
      </w:r>
    </w:p>
    <w:p>
      <w:pPr>
        <w:pStyle w:val="Normal"/>
        <w:pBdr/>
        <w:spacing w:lineRule="auto" w:line="360"/>
        <w:ind w:firstLine="709"/>
        <w:jc w:val="both"/>
        <w:rPr>
          <w:color w:val="C00000"/>
          <w:sz w:val="22"/>
          <w:szCs w:val="22"/>
        </w:rPr>
      </w:pPr>
      <w:r>
        <w:rPr>
          <w:color w:val="C00000"/>
          <w:sz w:val="22"/>
          <w:szCs w:val="22"/>
        </w:rPr>
      </w:r>
    </w:p>
    <w:p>
      <w:pPr>
        <w:pStyle w:val="Normal"/>
        <w:pBdr/>
        <w:spacing w:lineRule="auto" w:line="360"/>
        <w:jc w:val="both"/>
        <w:rPr>
          <w:color w:val="C00000"/>
          <w:sz w:val="22"/>
          <w:szCs w:val="22"/>
        </w:rPr>
      </w:pPr>
      <w:r>
        <w:rPr>
          <w:color w:val="C00000"/>
          <w:sz w:val="22"/>
          <w:szCs w:val="22"/>
        </w:rPr>
        <w:t>No caso de se contratar serviços e fornecimentos contínuos, os contratos poderão ser prorrogados sucessivamente, respeitada a vigência máxima de 60 (sessenta) meses, desde que haja previsão em edital e que a autoridade competente ateste que as condições e os preços permanecem vantajosos para a Administração, permitida a negociação com o contratado ou a extinção contratual sem ônus para qualquer das partes.</w:t>
      </w:r>
    </w:p>
    <w:p>
      <w:pPr>
        <w:pStyle w:val="Normal"/>
        <w:pBdr/>
        <w:spacing w:lineRule="auto" w:line="360"/>
        <w:jc w:val="both"/>
        <w:rPr>
          <w:color w:val="C00000"/>
          <w:sz w:val="22"/>
          <w:szCs w:val="22"/>
        </w:rPr>
      </w:pPr>
      <w:r>
        <w:rPr>
          <w:color w:val="C00000"/>
          <w:sz w:val="22"/>
          <w:szCs w:val="22"/>
        </w:rPr>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pPr>
        <w:pStyle w:val="Normal"/>
        <w:pBdr/>
        <w:spacing w:lineRule="auto" w:line="360"/>
        <w:jc w:val="both"/>
        <w:rPr>
          <w:color w:val="C00000"/>
          <w:sz w:val="22"/>
          <w:szCs w:val="22"/>
        </w:rPr>
      </w:pPr>
      <w:r>
        <w:rPr>
          <w:color w:val="C00000"/>
          <w:sz w:val="22"/>
          <w:szCs w:val="22"/>
        </w:rPr>
        <w:t>Destaca-se que a avaliação relativa à duração do contrato administrativo deve ser realizada na fase preparatória, durante o planejamento da contratação. Nesse sentido, as áreas solicitante e técnica, com conhecimento técnico e específico sobre a sua demanda, precisará avaliar, em cada caso, se a contratação plurianual será mais vantajosa para a Administração Pública.</w:t>
      </w:r>
    </w:p>
    <w:p>
      <w:pPr>
        <w:pStyle w:val="Normal"/>
        <w:pBdr/>
        <w:spacing w:lineRule="auto" w:line="360"/>
        <w:jc w:val="both"/>
        <w:rPr>
          <w:b/>
          <w:bCs/>
          <w:color w:val="000000"/>
          <w:highlight w:val="lightGray"/>
        </w:rPr>
      </w:pPr>
      <w:r>
        <w:rPr>
          <w:b/>
          <w:bCs/>
          <w:color w:val="000000"/>
          <w:highlight w:val="lightGray"/>
        </w:rPr>
      </w:r>
    </w:p>
    <w:p>
      <w:pPr>
        <w:pStyle w:val="Default"/>
        <w:shd w:val="clear" w:color="auto" w:fill="7F7F7F" w:themeFill="text1" w:themeFillTint="80"/>
        <w:spacing w:lineRule="auto" w:line="360"/>
        <w:rPr>
          <w:rFonts w:ascii="Times New Roman" w:hAnsi="Times New Roman" w:cs="Times New Roman"/>
          <w:b/>
          <w:bCs/>
          <w:color w:val="FFFFFF" w:themeColor="background1"/>
        </w:rPr>
      </w:pPr>
      <w:r>
        <w:rPr>
          <w:rFonts w:cs="Times New Roman" w:ascii="Times New Roman" w:hAnsi="Times New Roman"/>
          <w:b/>
          <w:bCs/>
          <w:color w:val="FFFFFF" w:themeColor="background1"/>
        </w:rPr>
        <w:t>III – PROSPECÇÃO DE SOLUÇÕES (PREENCHIMENTO OBRIGATÓRIO)</w:t>
      </w:r>
    </w:p>
    <w:p>
      <w:pPr>
        <w:pStyle w:val="Normal"/>
        <w:widowControl w:val="false"/>
        <w:pBdr/>
        <w:spacing w:lineRule="auto" w:line="360"/>
        <w:jc w:val="both"/>
        <w:rPr>
          <w:b/>
          <w:bCs/>
          <w:color w:val="FF0000"/>
          <w:sz w:val="22"/>
          <w:szCs w:val="22"/>
        </w:rPr>
      </w:pPr>
      <w:r>
        <w:rPr>
          <w:b/>
          <w:bCs/>
          <w:color w:val="FF0000"/>
          <w:sz w:val="22"/>
          <w:szCs w:val="22"/>
        </w:rPr>
      </w:r>
    </w:p>
    <w:p>
      <w:pPr>
        <w:pStyle w:val="Normal"/>
        <w:widowControl w:val="false"/>
        <w:pBdr/>
        <w:spacing w:lineRule="auto" w:line="360"/>
        <w:jc w:val="both"/>
        <w:rPr>
          <w:b/>
          <w:bCs/>
          <w:color w:val="C00000"/>
          <w:sz w:val="22"/>
          <w:szCs w:val="22"/>
        </w:rPr>
      </w:pPr>
      <w:r>
        <w:rPr>
          <w:b/>
          <w:bCs/>
          <w:color w:val="C00000"/>
          <w:sz w:val="22"/>
          <w:szCs w:val="22"/>
        </w:rPr>
        <w:t>Nota Explicativa:</w:t>
      </w:r>
      <w:r>
        <w:rPr>
          <w:color w:val="C00000"/>
          <w:sz w:val="22"/>
          <w:szCs w:val="22"/>
        </w:rPr>
        <w:t xml:space="preserve"> </w:t>
      </w:r>
      <w:r>
        <w:rPr>
          <w:rFonts w:eastAsia="Cambria"/>
          <w:color w:val="C00000"/>
          <w:sz w:val="22"/>
          <w:szCs w:val="22"/>
        </w:rPr>
        <w:t xml:space="preserve">Este item visa atender aos </w:t>
      </w:r>
      <w:r>
        <w:rPr>
          <w:rFonts w:eastAsia="Cambria"/>
          <w:b/>
          <w:bCs/>
          <w:color w:val="C00000"/>
          <w:sz w:val="22"/>
          <w:szCs w:val="22"/>
        </w:rPr>
        <w:t>elementos obrigatórios</w:t>
      </w:r>
      <w:r>
        <w:rPr>
          <w:rFonts w:eastAsia="Cambria"/>
          <w:color w:val="C00000"/>
          <w:sz w:val="22"/>
          <w:szCs w:val="22"/>
        </w:rPr>
        <w:t xml:space="preserve"> previstos nos </w:t>
      </w:r>
      <w:r>
        <w:rPr>
          <w:rFonts w:eastAsia="Cambria"/>
          <w:b/>
          <w:bCs/>
          <w:color w:val="C00000"/>
          <w:sz w:val="22"/>
          <w:szCs w:val="22"/>
        </w:rPr>
        <w:t>incisos V e VI, do art. 6</w:t>
      </w:r>
      <w:r>
        <w:rPr>
          <w:rFonts w:eastAsia="Cambria"/>
          <w:color w:val="C00000"/>
          <w:sz w:val="22"/>
          <w:szCs w:val="22"/>
        </w:rPr>
        <w:t>º (V - levantamento de mercado, que consiste na análise das alternativas possíveis e justificativa técnica e econômica da escolha do tipo de solução, que poderá ser ou não viabilizada por meio de uma contratação) (VI – estimativa do valor da potencial contratação, acompanhada dos preços unitários referenciais, das memórias de cálculo e dos documentos que lhe dão suporte, que poderão constar de anexo classificado, se a Administração optar por preservar o seu sigilo até a conclusão da licitação), da Resolução SEPLAG nº. 115/2021.</w:t>
      </w:r>
    </w:p>
    <w:p>
      <w:pPr>
        <w:pStyle w:val="Normal"/>
        <w:pBdr/>
        <w:spacing w:lineRule="auto" w:line="360"/>
        <w:jc w:val="both"/>
        <w:rPr>
          <w:b/>
          <w:bCs/>
          <w:color w:val="000000"/>
          <w:highlight w:val="lightGray"/>
        </w:rPr>
      </w:pPr>
      <w:r>
        <w:rPr>
          <w:b/>
          <w:bCs/>
          <w:color w:val="000000"/>
          <w:highlight w:val="lightGray"/>
        </w:rPr>
      </w:r>
    </w:p>
    <w:p>
      <w:pPr>
        <w:pStyle w:val="ListParagraph"/>
        <w:numPr>
          <w:ilvl w:val="0"/>
          <w:numId w:val="9"/>
        </w:numPr>
        <w:pBdr/>
        <w:spacing w:lineRule="auto" w:line="360"/>
        <w:jc w:val="both"/>
        <w:rPr>
          <w:b/>
          <w:bCs/>
          <w:color w:val="000000"/>
        </w:rPr>
      </w:pPr>
      <w:r>
        <w:rPr>
          <w:b/>
          <w:bCs/>
          <w:color w:val="000000" w:themeColor="text1"/>
        </w:rPr>
        <w:t>Levantamento de Mercado (art. 6º, V)</w:t>
      </w:r>
    </w:p>
    <w:p>
      <w:pPr>
        <w:pStyle w:val="Normal"/>
        <w:widowControl w:val="false"/>
        <w:pBdr/>
        <w:spacing w:lineRule="auto" w:line="360"/>
        <w:jc w:val="both"/>
        <w:rPr>
          <w:b/>
          <w:bCs/>
          <w:color w:val="FF0000"/>
          <w:sz w:val="22"/>
          <w:szCs w:val="22"/>
        </w:rPr>
      </w:pPr>
      <w:r>
        <w:rPr>
          <w:b/>
          <w:bCs/>
          <w:color w:val="FF0000"/>
          <w:sz w:val="22"/>
          <w:szCs w:val="22"/>
        </w:rPr>
      </w:r>
    </w:p>
    <w:p>
      <w:pPr>
        <w:pStyle w:val="Normal"/>
        <w:widowControl w:val="false"/>
        <w:pBdr/>
        <w:spacing w:lineRule="auto" w:line="360"/>
        <w:jc w:val="both"/>
        <w:rPr>
          <w:color w:val="C00000"/>
          <w:sz w:val="22"/>
          <w:szCs w:val="22"/>
        </w:rPr>
      </w:pPr>
      <w:r>
        <w:rPr>
          <w:b/>
          <w:bCs/>
          <w:color w:val="C00000"/>
          <w:sz w:val="22"/>
          <w:szCs w:val="22"/>
        </w:rPr>
        <w:t>Nota Explicativa:</w:t>
      </w:r>
      <w:r>
        <w:rPr>
          <w:color w:val="C00000"/>
          <w:sz w:val="22"/>
          <w:szCs w:val="22"/>
        </w:rPr>
        <w:t xml:space="preserve"> 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pPr>
        <w:pStyle w:val="Normal"/>
        <w:pBdr/>
        <w:spacing w:lineRule="auto" w:line="360"/>
        <w:jc w:val="both"/>
        <w:rPr>
          <w:color w:val="C00000"/>
          <w:sz w:val="22"/>
          <w:szCs w:val="22"/>
        </w:rPr>
      </w:pPr>
      <w:r>
        <w:rPr>
          <w:color w:val="C00000"/>
          <w:sz w:val="22"/>
          <w:szCs w:val="22"/>
        </w:rPr>
        <w:t>Essa pesquisa deve abranger aspectos técnicos e econômicos das soluções para o problema apontado e pode ser subsidiada por diferentes fontes, como contratações similares feitas pelo próprio contratante e por 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possível, visando a um levantamento de mercado de fato amplo e diverso.</w:t>
      </w:r>
    </w:p>
    <w:p>
      <w:pPr>
        <w:pStyle w:val="Normal"/>
        <w:pBdr/>
        <w:spacing w:lineRule="auto" w:line="360"/>
        <w:jc w:val="both"/>
        <w:rPr>
          <w:color w:val="C00000"/>
          <w:sz w:val="22"/>
          <w:szCs w:val="22"/>
        </w:rPr>
      </w:pPr>
      <w:r>
        <w:rPr>
          <w:color w:val="C00000"/>
          <w:sz w:val="22"/>
          <w:szCs w:val="22"/>
        </w:rPr>
        <w:t>A prospecção de soluções também pode ser feita por meio de consulta ou audiência pública, para coleta de contribuições. Nesse caso, devem ser observadas as regras específicas para a realização de tais procedimentos.</w:t>
      </w:r>
    </w:p>
    <w:p>
      <w:pPr>
        <w:pStyle w:val="Normal"/>
        <w:pBdr/>
        <w:spacing w:lineRule="auto" w:line="360"/>
        <w:jc w:val="both"/>
        <w:rPr>
          <w:color w:val="C00000"/>
          <w:sz w:val="22"/>
          <w:szCs w:val="22"/>
        </w:rPr>
      </w:pPr>
      <w:r>
        <w:rPr>
          <w:color w:val="C00000"/>
          <w:sz w:val="22"/>
          <w:szCs w:val="22"/>
        </w:rPr>
        <w:t>Após o levantamento de mercado, se for detectado que o número de potenciais fornecedores para a solução é restrito, deve-se verificar quais requisitos apontados na seção II.3 podem estar limitando a competição, certificando-se de que são realmente indispensáveis ou flexibilizando-os sempre que possível.</w:t>
      </w:r>
    </w:p>
    <w:p>
      <w:pPr>
        <w:pStyle w:val="Normal"/>
        <w:pBdr/>
        <w:spacing w:lineRule="auto" w:line="360"/>
        <w:jc w:val="both"/>
        <w:rPr>
          <w:color w:val="C00000"/>
          <w:sz w:val="22"/>
          <w:szCs w:val="22"/>
        </w:rPr>
      </w:pPr>
      <w:r>
        <w:rPr>
          <w:color w:val="C00000"/>
          <w:sz w:val="22"/>
          <w:szCs w:val="22"/>
        </w:rPr>
        <w:t>Em caso de possibilidade de compra ou locação de bens, devem ser avaliados os custos e os benefícios de cada opção para a escolha da alternativa mais vantajosa.</w:t>
      </w:r>
    </w:p>
    <w:p>
      <w:pPr>
        <w:pStyle w:val="Normal"/>
        <w:pBdr/>
        <w:spacing w:lineRule="auto" w:line="360"/>
        <w:jc w:val="both"/>
        <w:rPr>
          <w:color w:val="FF0000"/>
          <w:sz w:val="22"/>
          <w:szCs w:val="22"/>
        </w:rPr>
      </w:pPr>
      <w:r>
        <w:rPr>
          <w:color w:val="FF0000"/>
          <w:sz w:val="22"/>
          <w:szCs w:val="22"/>
        </w:rPr>
      </w:r>
    </w:p>
    <w:p>
      <w:pPr>
        <w:pStyle w:val="ListParagraph"/>
        <w:numPr>
          <w:ilvl w:val="0"/>
          <w:numId w:val="9"/>
        </w:numPr>
        <w:pBdr/>
        <w:spacing w:lineRule="auto" w:line="360"/>
        <w:jc w:val="both"/>
        <w:rPr>
          <w:b/>
          <w:bCs/>
        </w:rPr>
      </w:pPr>
      <w:r>
        <w:rPr>
          <w:b/>
          <w:bCs/>
        </w:rPr>
        <w:t>Estimativa do valor da contratação (art. 6º, VI)</w:t>
      </w:r>
    </w:p>
    <w:p>
      <w:pPr>
        <w:pStyle w:val="Normal"/>
        <w:spacing w:lineRule="auto" w:line="360"/>
        <w:jc w:val="both"/>
        <w:rPr>
          <w:b/>
          <w:bCs/>
          <w:color w:val="FF0000"/>
          <w:sz w:val="22"/>
          <w:szCs w:val="22"/>
        </w:rPr>
      </w:pPr>
      <w:r>
        <w:rPr>
          <w:b/>
          <w:bCs/>
          <w:color w:val="FF0000"/>
          <w:sz w:val="22"/>
          <w:szCs w:val="22"/>
        </w:rPr>
      </w:r>
    </w:p>
    <w:p>
      <w:pPr>
        <w:pStyle w:val="Normal"/>
        <w:spacing w:lineRule="auto" w:line="360"/>
        <w:jc w:val="both"/>
        <w:rPr>
          <w:rFonts w:eastAsia="Arial"/>
          <w:color w:val="C00000"/>
          <w:sz w:val="22"/>
          <w:szCs w:val="22"/>
        </w:rPr>
      </w:pPr>
      <w:r>
        <w:rPr>
          <w:b/>
          <w:bCs/>
          <w:color w:val="C00000"/>
          <w:sz w:val="22"/>
          <w:szCs w:val="22"/>
        </w:rPr>
        <w:t>Nota Explicativa:</w:t>
      </w:r>
      <w:r>
        <w:rPr>
          <w:color w:val="C00000"/>
          <w:sz w:val="22"/>
          <w:szCs w:val="22"/>
        </w:rPr>
        <w:t xml:space="preserve"> </w:t>
      </w:r>
      <w:r>
        <w:rPr>
          <w:rFonts w:eastAsia="Arial"/>
          <w:color w:val="C00000"/>
          <w:sz w:val="22"/>
          <w:szCs w:val="22"/>
        </w:rPr>
        <w:t>A estimativa do valor da contratação realizada nos ETPs visa registrar o gasto estimado com a solução escolhida, permitindo que a Administração Pública avalie a viabilidade econômica desta opção, considerando a adequação orçamentária do órgão/entidade. Tal estimativa não se confunde com os procedimentos e parâmetros de uma pesquisa de preço para fins de verificação da conformidade/aceitabilidade da proposta (</w:t>
      </w:r>
      <w:hyperlink r:id="rId2">
        <w:r>
          <w:rPr>
            <w:rStyle w:val="LinkdaInternet"/>
            <w:rFonts w:eastAsia="Arial"/>
            <w:sz w:val="22"/>
            <w:szCs w:val="22"/>
          </w:rPr>
          <w:t>https://www.gov.br/compras/pt-br/acesso-a-informacao/perguntas-frequentes/etp-digital/in-no-40-de-2020-e-os-estudos-tecnicos-preliminares/11-a-estimativa-do</w:t>
        </w:r>
      </w:hyperlink>
      <w:r>
        <w:rPr>
          <w:rFonts w:eastAsia="Arial"/>
          <w:color w:val="C00000"/>
          <w:sz w:val="22"/>
          <w:szCs w:val="22"/>
        </w:rPr>
        <w:t>). Nesse sentido, a estimativa pode ser obtida via consulta ao mercado no mesmo momento do levantamento das alternativas/soluções possíveis para o problema objeto do Estudo Técnico Preliminar.</w:t>
      </w:r>
    </w:p>
    <w:p>
      <w:pPr>
        <w:pStyle w:val="Normal"/>
        <w:spacing w:lineRule="auto" w:line="360"/>
        <w:jc w:val="both"/>
        <w:rPr>
          <w:rFonts w:eastAsia="Arial"/>
          <w:color w:val="C00000"/>
          <w:sz w:val="22"/>
          <w:szCs w:val="22"/>
        </w:rPr>
      </w:pPr>
      <w:r>
        <w:rPr>
          <w:rFonts w:eastAsia="Arial"/>
          <w:color w:val="C00000"/>
          <w:sz w:val="22"/>
          <w:szCs w:val="22"/>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pPr>
        <w:pStyle w:val="Normal"/>
        <w:spacing w:lineRule="auto" w:line="360"/>
        <w:jc w:val="both"/>
        <w:rPr>
          <w:rFonts w:eastAsia="Arial"/>
          <w:color w:val="C00000"/>
          <w:sz w:val="22"/>
          <w:szCs w:val="22"/>
        </w:rPr>
      </w:pPr>
      <w:r>
        <w:rPr>
          <w:rFonts w:eastAsia="Arial"/>
          <w:color w:val="C00000"/>
          <w:sz w:val="22"/>
          <w:szCs w:val="22"/>
        </w:rPr>
        <w:t>Nessa estimativa, 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pPr>
        <w:pStyle w:val="ListParagraph"/>
        <w:numPr>
          <w:ilvl w:val="0"/>
          <w:numId w:val="1"/>
        </w:numPr>
        <w:spacing w:lineRule="auto" w:line="360"/>
        <w:ind w:left="1134" w:hanging="0"/>
        <w:jc w:val="both"/>
        <w:rPr>
          <w:color w:val="C00000"/>
          <w:sz w:val="22"/>
          <w:szCs w:val="22"/>
        </w:rPr>
      </w:pPr>
      <w:r>
        <w:rPr>
          <w:rFonts w:eastAsia="Arial"/>
          <w:b/>
          <w:bCs/>
          <w:color w:val="C00000"/>
          <w:sz w:val="22"/>
          <w:szCs w:val="22"/>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Pr>
          <w:rFonts w:eastAsia="Arial"/>
          <w:color w:val="C00000"/>
          <w:sz w:val="22"/>
          <w:szCs w:val="22"/>
        </w:rPr>
        <w:t xml:space="preserve"> A pesquisa de preços segundo as diretrizes da Resolução Conjunta SEPLAG/ CGE Nº 9447, de 15 de dezembro de 2015será anexada posteriormente aos autos processuais após o término da confecção do termo de referência, documento que deverá expor descrição clara e precisa do objeto, obrigações das partes, exigências diversas quanto à execução contratual, prazos de execução/entrega do objeto e demais fatores com capacidade de influenciar o valor estimado da contratação.</w:t>
      </w:r>
    </w:p>
    <w:p>
      <w:pPr>
        <w:pStyle w:val="ListParagraph"/>
        <w:numPr>
          <w:ilvl w:val="0"/>
          <w:numId w:val="1"/>
        </w:numPr>
        <w:spacing w:lineRule="auto" w:line="360"/>
        <w:ind w:left="1134" w:hanging="0"/>
        <w:jc w:val="both"/>
        <w:rPr>
          <w:color w:val="C00000"/>
          <w:sz w:val="22"/>
          <w:szCs w:val="22"/>
        </w:rPr>
      </w:pPr>
      <w:r>
        <w:rPr>
          <w:rFonts w:eastAsia="Arial"/>
          <w:color w:val="C00000"/>
          <w:sz w:val="22"/>
          <w:szCs w:val="22"/>
        </w:rPr>
        <w:t>A estimativa do valor da contratação no ETP é feita comparando alternativas diferentes para a solução de um problema. Já na pesquisa de preços, compara-se um mesmo objeto (opção escolhida como solução para o problema enfrentado).</w:t>
      </w:r>
    </w:p>
    <w:p>
      <w:pPr>
        <w:pStyle w:val="ListParagraph"/>
        <w:numPr>
          <w:ilvl w:val="0"/>
          <w:numId w:val="1"/>
        </w:numPr>
        <w:spacing w:lineRule="auto" w:line="360"/>
        <w:ind w:left="1134" w:hanging="0"/>
        <w:jc w:val="both"/>
        <w:rPr>
          <w:rFonts w:eastAsia="Arial"/>
          <w:color w:val="C00000"/>
          <w:sz w:val="22"/>
          <w:szCs w:val="22"/>
        </w:rPr>
      </w:pPr>
      <w:r>
        <w:rPr>
          <w:rFonts w:eastAsia="Arial"/>
          <w:color w:val="C00000"/>
          <w:sz w:val="22"/>
          <w:szCs w:val="22"/>
        </w:rPr>
        <w:t>As normas de pesquisa de preços com orientações de boas práticas podem subsidiar o valor estimado da contratação no ETP, mas não são as únicas limitadoras nesse contexto.</w:t>
      </w:r>
    </w:p>
    <w:p>
      <w:pPr>
        <w:pStyle w:val="Normal"/>
        <w:pBdr/>
        <w:spacing w:lineRule="auto" w:line="360"/>
        <w:jc w:val="both"/>
        <w:rPr>
          <w:color w:val="FF0000"/>
          <w:sz w:val="22"/>
          <w:szCs w:val="22"/>
        </w:rPr>
      </w:pPr>
      <w:r>
        <w:rPr>
          <w:color w:val="FF0000"/>
          <w:sz w:val="22"/>
          <w:szCs w:val="22"/>
        </w:rPr>
      </w:r>
    </w:p>
    <w:p>
      <w:pPr>
        <w:pStyle w:val="ListParagraph"/>
        <w:numPr>
          <w:ilvl w:val="0"/>
          <w:numId w:val="9"/>
        </w:numPr>
        <w:pBdr/>
        <w:spacing w:lineRule="auto" w:line="360"/>
        <w:jc w:val="both"/>
        <w:rPr>
          <w:b/>
          <w:bCs/>
        </w:rPr>
      </w:pPr>
      <w:r>
        <w:rPr>
          <w:b/>
          <w:bCs/>
        </w:rPr>
        <w:t>Escolha da solução (consequência dos incisos V e VI do art. 6º)</w:t>
      </w:r>
    </w:p>
    <w:p>
      <w:pPr>
        <w:pStyle w:val="Normal"/>
        <w:widowControl w:val="false"/>
        <w:pBdr/>
        <w:spacing w:lineRule="auto" w:line="360"/>
        <w:jc w:val="both"/>
        <w:rPr>
          <w:b/>
          <w:bCs/>
          <w:color w:val="FF0000"/>
          <w:sz w:val="22"/>
          <w:szCs w:val="22"/>
        </w:rPr>
      </w:pPr>
      <w:r>
        <w:rPr>
          <w:b/>
          <w:bCs/>
          <w:color w:val="FF0000"/>
          <w:sz w:val="22"/>
          <w:szCs w:val="22"/>
        </w:rPr>
      </w:r>
    </w:p>
    <w:p>
      <w:pPr>
        <w:pStyle w:val="Normal"/>
        <w:widowControl w:val="false"/>
        <w:pBdr/>
        <w:spacing w:lineRule="auto" w:line="360"/>
        <w:jc w:val="both"/>
        <w:rPr>
          <w:color w:val="C00000"/>
          <w:sz w:val="22"/>
          <w:szCs w:val="22"/>
        </w:rPr>
      </w:pPr>
      <w:r>
        <w:rPr>
          <w:b/>
          <w:bCs/>
          <w:color w:val="C00000"/>
          <w:sz w:val="22"/>
          <w:szCs w:val="22"/>
        </w:rPr>
        <w:t>Nota Explicativa:</w:t>
      </w:r>
      <w:r>
        <w:rPr>
          <w:color w:val="C00000"/>
          <w:sz w:val="22"/>
          <w:szCs w:val="22"/>
        </w:rPr>
        <w:t xml:space="preserve"> Os quadros abaixo representam, de forma ilustrativa, duas sugestões, dentre várias possíveis, de sistematizar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contratação. </w:t>
      </w:r>
      <w:r>
        <w:rPr>
          <w:color w:val="C00000"/>
          <w:sz w:val="22"/>
          <w:szCs w:val="22"/>
          <w:highlight w:val="yellow"/>
        </w:rPr>
        <w:t>Posteriormente a isso que haja indicação expressa da solução escolhida com detalhamento das soluções levantadas.</w:t>
      </w:r>
    </w:p>
    <w:p>
      <w:pPr>
        <w:pStyle w:val="Normal"/>
        <w:widowControl w:val="false"/>
        <w:pBdr/>
        <w:spacing w:lineRule="auto" w:line="360"/>
        <w:jc w:val="both"/>
        <w:rPr>
          <w:color w:val="C00000"/>
          <w:sz w:val="22"/>
          <w:szCs w:val="22"/>
        </w:rPr>
      </w:pPr>
      <w:r>
        <w:rPr>
          <w:color w:val="C00000"/>
          <w:sz w:val="22"/>
          <w:szCs w:val="22"/>
        </w:rPr>
        <w:t>A Resolução SEPLAG nº. 115/2021 traz, em seu art. 6º, §2º, critérios exemplificativos para balizar a análise comparativa entre as soluções, não sendo um rol exaustivo:</w:t>
      </w:r>
    </w:p>
    <w:p>
      <w:pPr>
        <w:pStyle w:val="Normal"/>
        <w:spacing w:lineRule="auto" w:line="360"/>
        <w:ind w:left="1134" w:hanging="0"/>
        <w:jc w:val="both"/>
        <w:rPr>
          <w:rFonts w:eastAsia="Arial"/>
          <w:color w:val="C00000"/>
          <w:sz w:val="22"/>
          <w:szCs w:val="22"/>
        </w:rPr>
      </w:pPr>
      <w:r>
        <w:rPr>
          <w:rFonts w:eastAsia="Arial"/>
          <w:color w:val="C00000"/>
          <w:sz w:val="22"/>
          <w:szCs w:val="22"/>
        </w:rPr>
        <w:t>§ 2º - A justificativa técnica e econômica da escolha do tipo de solução de que trata o inciso V docaputserá orientada por uma análise comparativa entre as soluções identificadas, que poderá ser realizada a partir de um ou mais dos seguintes critérios, sem prejuízo de outros relevantes para o objeto em análise:</w:t>
      </w:r>
    </w:p>
    <w:p>
      <w:pPr>
        <w:pStyle w:val="Normal"/>
        <w:spacing w:lineRule="auto" w:line="360"/>
        <w:ind w:left="1134" w:hanging="0"/>
        <w:jc w:val="both"/>
        <w:rPr>
          <w:rFonts w:eastAsia="Arial"/>
          <w:color w:val="C00000"/>
          <w:sz w:val="22"/>
          <w:szCs w:val="22"/>
        </w:rPr>
      </w:pPr>
      <w:r>
        <w:rPr>
          <w:rFonts w:eastAsia="Arial"/>
          <w:color w:val="C00000"/>
          <w:sz w:val="22"/>
          <w:szCs w:val="22"/>
        </w:rPr>
        <w:t>I - relação de custo-benefício do ponto de vista financeiro, preferencialmente pela comparação do custo total das soluções propostas e da solução atual, quando for o caso;</w:t>
      </w:r>
    </w:p>
    <w:p>
      <w:pPr>
        <w:pStyle w:val="Normal"/>
        <w:spacing w:lineRule="auto" w:line="360"/>
        <w:ind w:left="1134" w:hanging="0"/>
        <w:jc w:val="both"/>
        <w:rPr>
          <w:rFonts w:eastAsia="Arial"/>
          <w:color w:val="C00000"/>
          <w:sz w:val="22"/>
          <w:szCs w:val="22"/>
        </w:rPr>
      </w:pPr>
      <w:r>
        <w:rPr>
          <w:rFonts w:eastAsia="Arial"/>
          <w:color w:val="C00000"/>
          <w:sz w:val="22"/>
          <w:szCs w:val="22"/>
        </w:rPr>
        <w:t>II - ganhos de eficiência na utilização dos recursos;</w:t>
      </w:r>
    </w:p>
    <w:p>
      <w:pPr>
        <w:pStyle w:val="Normal"/>
        <w:spacing w:lineRule="auto" w:line="360"/>
        <w:ind w:left="1134" w:hanging="0"/>
        <w:jc w:val="both"/>
        <w:rPr>
          <w:rFonts w:eastAsia="Arial"/>
          <w:color w:val="C00000"/>
          <w:sz w:val="22"/>
          <w:szCs w:val="22"/>
        </w:rPr>
      </w:pPr>
      <w:r>
        <w:rPr>
          <w:rFonts w:eastAsia="Arial"/>
          <w:color w:val="C00000"/>
          <w:sz w:val="22"/>
          <w:szCs w:val="22"/>
        </w:rPr>
        <w:t>III - sustentabilidade social, econômica e ambiental, por meio da consideração de objetivos secundários da política de compras públicas;</w:t>
      </w:r>
    </w:p>
    <w:p>
      <w:pPr>
        <w:pStyle w:val="Normal"/>
        <w:spacing w:lineRule="auto" w:line="360"/>
        <w:ind w:left="1134" w:hanging="0"/>
        <w:jc w:val="both"/>
        <w:rPr>
          <w:rFonts w:eastAsia="Arial"/>
          <w:color w:val="C00000"/>
          <w:sz w:val="22"/>
          <w:szCs w:val="22"/>
        </w:rPr>
      </w:pPr>
      <w:r>
        <w:rPr>
          <w:rFonts w:eastAsia="Arial"/>
          <w:color w:val="C00000"/>
          <w:sz w:val="22"/>
          <w:szCs w:val="22"/>
        </w:rPr>
        <w:t>IV - presença de riscos e sua distribuição entre as partes.</w:t>
      </w:r>
    </w:p>
    <w:p>
      <w:pPr>
        <w:pStyle w:val="Normal"/>
        <w:widowControl w:val="false"/>
        <w:pBdr/>
        <w:spacing w:lineRule="auto" w:line="360"/>
        <w:jc w:val="both"/>
        <w:rPr>
          <w:color w:val="C00000"/>
          <w:sz w:val="22"/>
          <w:szCs w:val="22"/>
        </w:rPr>
      </w:pPr>
      <w:r>
        <w:rPr>
          <w:color w:val="C00000"/>
          <w:sz w:val="22"/>
          <w:szCs w:val="22"/>
        </w:rPr>
      </w:r>
    </w:p>
    <w:p>
      <w:pPr>
        <w:pStyle w:val="Normal"/>
        <w:widowControl w:val="false"/>
        <w:pBdr/>
        <w:spacing w:lineRule="auto" w:line="360"/>
        <w:jc w:val="both"/>
        <w:rPr>
          <w:color w:val="C00000"/>
          <w:sz w:val="22"/>
          <w:szCs w:val="22"/>
        </w:rPr>
      </w:pPr>
      <w:r>
        <w:rPr>
          <w:color w:val="C00000"/>
          <w:sz w:val="22"/>
          <w:szCs w:val="22"/>
        </w:rPr>
        <w:t>O § 3º, do art. 6º, também traz a exigência de “</w:t>
      </w:r>
      <w:r>
        <w:rPr>
          <w:i/>
          <w:iCs/>
          <w:color w:val="C00000"/>
          <w:sz w:val="22"/>
          <w:szCs w:val="22"/>
        </w:rPr>
        <w:t>Na justificativa técnica e econômica da escolha do tipo de solução, quando houver a possibilidade de compra ou locação de bens, deverão ser considerados os custos e os benefícios de cada opção, com indicação da alternativa mais vantajosa.</w:t>
      </w:r>
      <w:r>
        <w:rPr>
          <w:color w:val="C00000"/>
          <w:sz w:val="22"/>
          <w:szCs w:val="22"/>
        </w:rPr>
        <w:t>”.</w:t>
      </w:r>
    </w:p>
    <w:p>
      <w:pPr>
        <w:pStyle w:val="Normal"/>
        <w:widowControl w:val="false"/>
        <w:pBdr/>
        <w:spacing w:lineRule="auto" w:line="360"/>
        <w:jc w:val="both"/>
        <w:rPr>
          <w:color w:val="C00000"/>
          <w:sz w:val="22"/>
          <w:szCs w:val="22"/>
          <w:highlight w:val="yellow"/>
        </w:rPr>
      </w:pPr>
      <w:r>
        <w:rPr>
          <w:color w:val="C00000"/>
          <w:sz w:val="22"/>
          <w:szCs w:val="22"/>
        </w:rPr>
        <w:t>Por fim, deve-se incluir também as informações referente aos custos estimados no item III.2, pois é fator fundamental que orientará a escolha da solução.</w:t>
      </w:r>
    </w:p>
    <w:p>
      <w:pPr>
        <w:pStyle w:val="Normal"/>
        <w:spacing w:lineRule="auto" w:line="360"/>
        <w:jc w:val="both"/>
        <w:rPr>
          <w:i/>
          <w:i/>
          <w:iCs/>
          <w:color w:val="C00000"/>
          <w:sz w:val="22"/>
          <w:szCs w:val="22"/>
        </w:rPr>
      </w:pPr>
      <w:r>
        <w:rPr>
          <w:i/>
          <w:iCs/>
          <w:color w:val="C00000"/>
          <w:sz w:val="22"/>
          <w:szCs w:val="22"/>
        </w:rPr>
        <w:t>Exemplo 1:</w:t>
      </w:r>
    </w:p>
    <w:tbl>
      <w:tblPr>
        <w:tblStyle w:val="Tabelacomgrade"/>
        <w:tblW w:w="934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115"/>
        <w:gridCol w:w="3115"/>
        <w:gridCol w:w="3115"/>
      </w:tblGrid>
      <w:tr>
        <w:trPr/>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Soluções</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Vantagens (pontos fortes)</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Desvantagens (riscos, limitações, problemas)</w:t>
            </w:r>
          </w:p>
        </w:tc>
      </w:tr>
      <w:tr>
        <w:trPr/>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1</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2</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3</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w:t>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3115"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bl>
    <w:p>
      <w:pPr>
        <w:pStyle w:val="Normal"/>
        <w:widowControl w:val="false"/>
        <w:pBdr/>
        <w:spacing w:lineRule="auto" w:line="360"/>
        <w:jc w:val="both"/>
        <w:rPr>
          <w:i/>
          <w:i/>
          <w:iCs/>
          <w:color w:val="C00000"/>
          <w:sz w:val="22"/>
          <w:szCs w:val="22"/>
        </w:rPr>
      </w:pPr>
      <w:r>
        <w:rPr>
          <w:i/>
          <w:iCs/>
          <w:color w:val="C00000"/>
          <w:sz w:val="22"/>
          <w:szCs w:val="22"/>
        </w:rPr>
      </w:r>
    </w:p>
    <w:p>
      <w:pPr>
        <w:pStyle w:val="Normal"/>
        <w:widowControl w:val="false"/>
        <w:pBdr/>
        <w:spacing w:lineRule="auto" w:line="360"/>
        <w:jc w:val="both"/>
        <w:rPr>
          <w:color w:val="C00000"/>
          <w:sz w:val="22"/>
          <w:szCs w:val="22"/>
        </w:rPr>
      </w:pPr>
      <w:r>
        <w:rPr>
          <w:i/>
          <w:iCs/>
          <w:color w:val="C00000"/>
          <w:sz w:val="22"/>
          <w:szCs w:val="22"/>
        </w:rPr>
        <w:t xml:space="preserve">Exemplo 2: </w:t>
      </w:r>
    </w:p>
    <w:tbl>
      <w:tblPr>
        <w:tblStyle w:val="Tabelacomgrade"/>
        <w:tblW w:w="5000" w:type="pct"/>
        <w:jc w:val="left"/>
        <w:tblInd w:w="0" w:type="dxa"/>
        <w:tblLayout w:type="fixed"/>
        <w:tblCellMar>
          <w:top w:w="0" w:type="dxa"/>
          <w:left w:w="108" w:type="dxa"/>
          <w:bottom w:w="0" w:type="dxa"/>
          <w:right w:w="108" w:type="dxa"/>
        </w:tblCellMar>
        <w:tblLook w:firstRow="1" w:noVBand="1" w:lastRow="0" w:firstColumn="1" w:lastColumn="0" w:noHBand="1" w:val="06a0"/>
      </w:tblPr>
      <w:tblGrid>
        <w:gridCol w:w="1869"/>
        <w:gridCol w:w="1871"/>
        <w:gridCol w:w="1872"/>
        <w:gridCol w:w="1871"/>
        <w:gridCol w:w="1871"/>
      </w:tblGrid>
      <w:tr>
        <w:trPr/>
        <w:tc>
          <w:tcPr>
            <w:tcW w:w="1869"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Requisitos</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1</w:t>
            </w:r>
          </w:p>
        </w:tc>
        <w:tc>
          <w:tcPr>
            <w:tcW w:w="1872"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2</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Solução N</w:t>
            </w:r>
          </w:p>
        </w:tc>
      </w:tr>
      <w:tr>
        <w:trPr/>
        <w:tc>
          <w:tcPr>
            <w:tcW w:w="1869"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Requisito 1</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2"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1869"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Requisito 2</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2"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1869"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Requisito (...)</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2"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1869"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t>Requisito N</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2" w:type="dxa"/>
            <w:tcBorders/>
          </w:tcPr>
          <w:p>
            <w:pPr>
              <w:pStyle w:val="Normal"/>
              <w:widowControl/>
              <w:spacing w:lineRule="auto" w:line="360" w:before="0" w:after="0"/>
              <w:jc w:val="both"/>
              <w:rPr>
                <w:rStyle w:val="Annotationreference"/>
                <w:color w:val="C00000"/>
              </w:rPr>
            </w:pPr>
            <w:r>
              <w:rPr>
                <w:color w:val="C00000"/>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r>
        <w:trPr/>
        <w:tc>
          <w:tcPr>
            <w:tcW w:w="1869" w:type="dxa"/>
            <w:tcBorders/>
          </w:tcPr>
          <w:p>
            <w:pPr>
              <w:pStyle w:val="Normal"/>
              <w:widowControl/>
              <w:spacing w:lineRule="auto" w:line="360" w:before="0" w:after="0"/>
              <w:jc w:val="both"/>
              <w:rPr>
                <w:b/>
                <w:bCs/>
                <w:i/>
                <w:i/>
                <w:iCs/>
                <w:color w:val="C00000"/>
                <w:sz w:val="22"/>
                <w:szCs w:val="22"/>
              </w:rPr>
            </w:pPr>
            <w:r>
              <w:rPr>
                <w:rFonts w:eastAsia="Times New Roman" w:cs="Times New Roman"/>
                <w:b/>
                <w:bCs/>
                <w:i/>
                <w:iCs/>
                <w:color w:val="C00000"/>
                <w:kern w:val="0"/>
                <w:sz w:val="22"/>
                <w:szCs w:val="22"/>
                <w:lang w:val="pt-BR" w:eastAsia="pt-BR" w:bidi="ar-SA"/>
              </w:rPr>
              <w:t>Custo estimado</w:t>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2" w:type="dxa"/>
            <w:tcBorders/>
          </w:tcPr>
          <w:p>
            <w:pPr>
              <w:pStyle w:val="Normal"/>
              <w:widowControl/>
              <w:spacing w:lineRule="auto" w:line="360" w:before="0" w:after="0"/>
              <w:jc w:val="both"/>
              <w:rPr>
                <w:rStyle w:val="Annotationreference"/>
                <w:color w:val="C00000"/>
              </w:rPr>
            </w:pPr>
            <w:r>
              <w:rPr>
                <w:color w:val="C00000"/>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c>
          <w:tcPr>
            <w:tcW w:w="1871" w:type="dxa"/>
            <w:tcBorders/>
          </w:tcPr>
          <w:p>
            <w:pPr>
              <w:pStyle w:val="Normal"/>
              <w:widowControl/>
              <w:spacing w:lineRule="auto" w:line="360" w:before="0" w:after="0"/>
              <w:jc w:val="both"/>
              <w:rPr>
                <w:i/>
                <w:i/>
                <w:iCs/>
                <w:color w:val="C00000"/>
                <w:sz w:val="22"/>
                <w:szCs w:val="22"/>
              </w:rPr>
            </w:pPr>
            <w:r>
              <w:rPr>
                <w:rFonts w:eastAsia="Times New Roman" w:cs="Times New Roman"/>
                <w:i/>
                <w:iCs/>
                <w:color w:val="C00000"/>
                <w:kern w:val="0"/>
                <w:sz w:val="22"/>
                <w:szCs w:val="22"/>
                <w:lang w:val="pt-BR" w:eastAsia="pt-BR" w:bidi="ar-SA"/>
              </w:rPr>
            </w:r>
          </w:p>
        </w:tc>
      </w:tr>
    </w:tbl>
    <w:p>
      <w:pPr>
        <w:pStyle w:val="Normal"/>
        <w:spacing w:lineRule="auto" w:line="360"/>
        <w:jc w:val="both"/>
        <w:rPr>
          <w:b/>
          <w:bCs/>
          <w:color w:val="C00000"/>
          <w:sz w:val="22"/>
          <w:szCs w:val="22"/>
        </w:rPr>
      </w:pPr>
      <w:r>
        <w:rPr>
          <w:b/>
          <w:bCs/>
          <w:color w:val="C00000"/>
          <w:sz w:val="22"/>
          <w:szCs w:val="22"/>
        </w:rPr>
      </w:r>
    </w:p>
    <w:p>
      <w:pPr>
        <w:pStyle w:val="Normal"/>
        <w:spacing w:lineRule="auto" w:line="360"/>
        <w:jc w:val="both"/>
        <w:rPr>
          <w:b/>
          <w:bCs/>
          <w:color w:val="C00000"/>
          <w:sz w:val="22"/>
          <w:szCs w:val="22"/>
        </w:rPr>
      </w:pPr>
      <w:r>
        <w:rPr>
          <w:b/>
          <w:bCs/>
          <w:color w:val="C00000"/>
          <w:sz w:val="22"/>
          <w:szCs w:val="22"/>
        </w:rPr>
        <w:t>Diante do exposto e após análise comparativa, deve-se indicar a solução escolhida para o atendimento da necessidade em questão, demonstrando, com base com base em razões fáticas e a partir do levantamento de mercado, que ela é a que melhor atende ao interessa público mediante cumprimento dos requisitos da contratação e levando-se em conta aspectos técnicos e econômicos a ela relacionados.</w:t>
      </w:r>
    </w:p>
    <w:p>
      <w:pPr>
        <w:pStyle w:val="Normal"/>
        <w:pBdr/>
        <w:spacing w:lineRule="auto" w:line="360"/>
        <w:jc w:val="both"/>
        <w:rPr>
          <w:color w:val="FF0000"/>
          <w:sz w:val="22"/>
          <w:szCs w:val="22"/>
          <w:highlight w:val="yellow"/>
        </w:rPr>
      </w:pPr>
      <w:r>
        <w:rPr>
          <w:color w:val="C00000"/>
          <w:sz w:val="22"/>
          <w:szCs w:val="22"/>
        </w:rPr>
        <w:t>Vale destacar que todos os dados citados no levantamento de mercado devem ser referenciados, com link para acesso aos documentos pesquisados, se for o caso, e/ou com a documentação da pesquisa realizada nos autos processuais da contratação.</w:t>
      </w:r>
      <w:r>
        <w:rPr>
          <w:color w:val="FF0000"/>
          <w:sz w:val="22"/>
          <w:szCs w:val="22"/>
        </w:rPr>
        <w:t xml:space="preserve"> </w:t>
      </w:r>
    </w:p>
    <w:p>
      <w:pPr>
        <w:pStyle w:val="Normal"/>
        <w:pBdr/>
        <w:spacing w:lineRule="auto" w:line="360"/>
        <w:jc w:val="both"/>
        <w:rPr>
          <w:b/>
          <w:bCs/>
          <w:color w:val="FF0000"/>
        </w:rPr>
      </w:pPr>
      <w:r>
        <w:rPr>
          <w:b/>
          <w:bCs/>
          <w:color w:val="FF0000"/>
        </w:rPr>
      </w:r>
    </w:p>
    <w:p>
      <w:pPr>
        <w:pStyle w:val="Default"/>
        <w:shd w:val="clear" w:color="auto" w:fill="7F7F7F" w:themeFill="text1" w:themeFillTint="80"/>
        <w:spacing w:lineRule="auto" w:line="360"/>
        <w:rPr>
          <w:rFonts w:ascii="Times New Roman" w:hAnsi="Times New Roman" w:cs="Times New Roman"/>
          <w:b/>
          <w:bCs/>
          <w:color w:val="FFFFFF" w:themeColor="background1"/>
        </w:rPr>
      </w:pPr>
      <w:r>
        <w:rPr>
          <w:rFonts w:cs="Times New Roman" w:ascii="Times New Roman" w:hAnsi="Times New Roman"/>
          <w:b/>
          <w:bCs/>
          <w:color w:val="FFFFFF" w:themeColor="background1"/>
        </w:rPr>
        <w:t>IV – DETALHAMENTO DA SOLUÇÃO ESCOLHIDA</w:t>
      </w:r>
    </w:p>
    <w:p>
      <w:pPr>
        <w:pStyle w:val="Normal"/>
        <w:pBdr/>
        <w:spacing w:lineRule="auto" w:line="360"/>
        <w:jc w:val="both"/>
        <w:rPr>
          <w:b/>
          <w:bCs/>
          <w:color w:val="FF0000"/>
        </w:rPr>
      </w:pPr>
      <w:r>
        <w:rPr>
          <w:b/>
          <w:bCs/>
          <w:color w:val="FF0000"/>
        </w:rPr>
      </w:r>
    </w:p>
    <w:p>
      <w:pPr>
        <w:pStyle w:val="ListParagraph"/>
        <w:numPr>
          <w:ilvl w:val="0"/>
          <w:numId w:val="11"/>
        </w:numPr>
        <w:pBdr/>
        <w:spacing w:lineRule="auto" w:line="360"/>
        <w:jc w:val="both"/>
        <w:rPr>
          <w:b/>
          <w:bCs/>
          <w:color w:val="000000" w:themeColor="text1"/>
        </w:rPr>
      </w:pPr>
      <w:r>
        <w:rPr>
          <w:b/>
          <w:bCs/>
        </w:rPr>
        <w:t>Descrição da solução como um todo (PREENCHIMENTO OBRIGATÓRIO) (art. 6º, VII)</w:t>
      </w:r>
    </w:p>
    <w:p>
      <w:pPr>
        <w:pStyle w:val="Normal"/>
        <w:widowControl w:val="false"/>
        <w:spacing w:lineRule="auto" w:line="360"/>
        <w:jc w:val="both"/>
        <w:rPr>
          <w:b/>
          <w:bCs/>
          <w:color w:val="C00000"/>
          <w:sz w:val="22"/>
          <w:szCs w:val="22"/>
        </w:rPr>
      </w:pPr>
      <w:r>
        <w:rPr>
          <w:b/>
          <w:bCs/>
          <w:color w:val="C00000"/>
          <w:sz w:val="22"/>
          <w:szCs w:val="22"/>
        </w:rPr>
      </w:r>
    </w:p>
    <w:p>
      <w:pPr>
        <w:pStyle w:val="Normal"/>
        <w:widowControl w:val="false"/>
        <w:spacing w:lineRule="auto" w:line="360"/>
        <w:jc w:val="both"/>
        <w:rPr>
          <w:rFonts w:eastAsia="Cambria"/>
          <w:color w:val="C00000"/>
          <w:sz w:val="22"/>
          <w:szCs w:val="22"/>
        </w:rPr>
      </w:pPr>
      <w:r>
        <w:rPr>
          <w:b/>
          <w:bCs/>
          <w:color w:val="C00000"/>
          <w:sz w:val="22"/>
          <w:szCs w:val="22"/>
        </w:rPr>
        <w:t>Nota explicativa:</w:t>
      </w:r>
      <w:r>
        <w:rPr>
          <w:color w:val="C00000"/>
          <w:sz w:val="22"/>
          <w:szCs w:val="22"/>
        </w:rPr>
        <w:t xml:space="preserve"> </w:t>
      </w:r>
      <w:r>
        <w:rPr>
          <w:rFonts w:eastAsia="Cambria"/>
          <w:color w:val="C00000"/>
          <w:sz w:val="22"/>
          <w:szCs w:val="22"/>
        </w:rPr>
        <w:t xml:space="preserve">Esse item visa atender ao </w:t>
      </w:r>
      <w:r>
        <w:rPr>
          <w:rFonts w:eastAsia="Cambria"/>
          <w:b/>
          <w:bCs/>
          <w:color w:val="C00000"/>
          <w:sz w:val="22"/>
          <w:szCs w:val="22"/>
        </w:rPr>
        <w:t>elemento obrigatório</w:t>
      </w:r>
      <w:r>
        <w:rPr>
          <w:rFonts w:eastAsia="Cambria"/>
          <w:color w:val="C00000"/>
          <w:sz w:val="22"/>
          <w:szCs w:val="22"/>
        </w:rPr>
        <w:t xml:space="preserve"> previsto no </w:t>
      </w:r>
      <w:r>
        <w:rPr>
          <w:rFonts w:eastAsia="Cambria"/>
          <w:b/>
          <w:bCs/>
          <w:color w:val="C00000"/>
          <w:sz w:val="22"/>
          <w:szCs w:val="22"/>
        </w:rPr>
        <w:t xml:space="preserve">inciso VII </w:t>
      </w:r>
      <w:r>
        <w:rPr>
          <w:rFonts w:eastAsia="Cambria"/>
          <w:color w:val="C00000"/>
          <w:sz w:val="22"/>
          <w:szCs w:val="22"/>
        </w:rPr>
        <w:t>(descrição da solução como um todo e, quando for o caso, das exigências relacionadas à manutenção e à assistência técnica),</w:t>
      </w:r>
      <w:r>
        <w:rPr>
          <w:rFonts w:eastAsia="Cambria"/>
          <w:b/>
          <w:bCs/>
          <w:color w:val="C00000"/>
          <w:sz w:val="22"/>
          <w:szCs w:val="22"/>
        </w:rPr>
        <w:t xml:space="preserve"> do art. 6º</w:t>
      </w:r>
      <w:r>
        <w:rPr>
          <w:rFonts w:eastAsia="Cambria"/>
          <w:color w:val="C00000"/>
          <w:sz w:val="22"/>
          <w:szCs w:val="22"/>
        </w:rPr>
        <w:t>, da Resolução SEPLAG nº. 115/2021.</w:t>
      </w:r>
    </w:p>
    <w:p>
      <w:pPr>
        <w:pStyle w:val="Normal"/>
        <w:widowControl w:val="false"/>
        <w:spacing w:lineRule="auto" w:line="360"/>
        <w:jc w:val="both"/>
        <w:rPr>
          <w:color w:val="C00000"/>
          <w:sz w:val="22"/>
          <w:szCs w:val="22"/>
        </w:rPr>
      </w:pPr>
      <w:r>
        <w:rPr>
          <w:color w:val="C00000"/>
          <w:sz w:val="22"/>
          <w:szCs w:val="22"/>
        </w:rPr>
        <w:t>Deve-se descrever a solução escolhida como um todo em seus elementos centrais, destacando-se, inclusive, aqueles elementos que subsidiaram as justificativas técnicas e econômicas para a sua escolha.</w:t>
      </w:r>
    </w:p>
    <w:p>
      <w:pPr>
        <w:pStyle w:val="Normal"/>
        <w:widowControl w:val="false"/>
        <w:spacing w:lineRule="auto" w:line="360"/>
        <w:jc w:val="both"/>
        <w:rPr>
          <w:color w:val="C00000"/>
          <w:sz w:val="22"/>
          <w:szCs w:val="22"/>
        </w:rPr>
      </w:pPr>
      <w:r>
        <w:rPr>
          <w:color w:val="C00000"/>
          <w:sz w:val="22"/>
          <w:szCs w:val="22"/>
        </w:rPr>
        <w:t xml:space="preserve">Este subitem, considerando que uma solução se refere ao conjunto de todos os elementos (bens, serviços e outros) necessários para, de forma integrada, gerar os resultados que atendam à necessidade da Administração, deverá evidenciar todas as partes necessárias ao atendimento da demanda, necessidade ou problema, inclusive abordando exigências relacionadas à manutenção e à assistência técnica, quando for o caso. </w:t>
      </w:r>
    </w:p>
    <w:p>
      <w:pPr>
        <w:pStyle w:val="Normal"/>
        <w:widowControl w:val="false"/>
        <w:spacing w:lineRule="auto" w:line="360"/>
        <w:jc w:val="both"/>
        <w:rPr>
          <w:color w:val="C00000"/>
          <w:sz w:val="22"/>
          <w:szCs w:val="22"/>
        </w:rPr>
      </w:pPr>
      <w:r>
        <w:rPr>
          <w:color w:val="C00000"/>
          <w:sz w:val="22"/>
          <w:szCs w:val="22"/>
        </w:rPr>
        <w:t>Em linhas gerais deve-se responder se será uma aquisição de material ou contratação de um serviço, se há ou não continuidade, se há fornecimento de sistema em conjunto para viabilizar a solução, se há mais de uma contratação ou não.</w:t>
      </w:r>
    </w:p>
    <w:p>
      <w:pPr>
        <w:pStyle w:val="Normal"/>
        <w:widowControl w:val="false"/>
        <w:spacing w:lineRule="auto" w:line="360"/>
        <w:ind w:left="720" w:hanging="0"/>
        <w:jc w:val="both"/>
        <w:rPr>
          <w:i/>
          <w:i/>
          <w:iCs/>
          <w:color w:val="C00000"/>
          <w:sz w:val="22"/>
          <w:szCs w:val="22"/>
        </w:rPr>
      </w:pPr>
      <w:r>
        <w:rPr>
          <w:b/>
          <w:bCs/>
          <w:color w:val="C00000"/>
          <w:sz w:val="22"/>
          <w:szCs w:val="22"/>
        </w:rPr>
        <w:t>Exemplificando</w:t>
      </w:r>
      <w:r>
        <w:rPr>
          <w:i/>
          <w:iCs/>
          <w:color w:val="C00000"/>
          <w:sz w:val="22"/>
          <w:szCs w:val="22"/>
        </w:rPr>
        <w:t xml:space="preserve">: identificada a necessidade de se manter os prédios públicos providos de extintores de incêndio em perfeitas condições de uso, além da aquisição dos novos extintores, deve-se ponderar a necessidade de contratação de serviços, contínuos ou não, de manutenção, compreendendo, se for o caso, os serviços de recarga, teste hidrostático, eventuais substituições de peças e acessórios e pintura. </w:t>
      </w:r>
    </w:p>
    <w:p>
      <w:pPr>
        <w:pStyle w:val="Normal"/>
        <w:widowControl w:val="false"/>
        <w:spacing w:lineRule="auto" w:line="360"/>
        <w:jc w:val="both"/>
        <w:rPr>
          <w:color w:val="C00000"/>
          <w:sz w:val="22"/>
          <w:szCs w:val="22"/>
        </w:rPr>
      </w:pPr>
      <w:r>
        <w:rPr>
          <w:color w:val="C00000"/>
          <w:sz w:val="22"/>
          <w:szCs w:val="22"/>
        </w:rPr>
        <w:t>Compreendida a solução como um todo, deve-se ponderar, no subitem específico, sobre o parcelamento ou não da contratação.</w:t>
      </w:r>
    </w:p>
    <w:p>
      <w:pPr>
        <w:pStyle w:val="Normal"/>
        <w:pBdr/>
        <w:spacing w:lineRule="auto" w:line="360"/>
        <w:jc w:val="both"/>
        <w:rPr>
          <w:rFonts w:eastAsia="Arial"/>
          <w:b/>
          <w:bCs/>
          <w:color w:val="000000" w:themeColor="text1"/>
        </w:rPr>
      </w:pPr>
      <w:r>
        <w:rPr>
          <w:rFonts w:eastAsia="Arial"/>
          <w:b/>
          <w:bCs/>
          <w:color w:val="000000" w:themeColor="text1"/>
        </w:rPr>
      </w:r>
    </w:p>
    <w:p>
      <w:pPr>
        <w:pStyle w:val="ListParagraph"/>
        <w:numPr>
          <w:ilvl w:val="0"/>
          <w:numId w:val="11"/>
        </w:numPr>
        <w:pBdr/>
        <w:spacing w:lineRule="auto" w:line="360"/>
        <w:jc w:val="both"/>
        <w:rPr>
          <w:rFonts w:eastAsia="Arial"/>
          <w:b/>
          <w:bCs/>
          <w:color w:val="000000"/>
        </w:rPr>
      </w:pPr>
      <w:r>
        <w:rPr>
          <w:rFonts w:eastAsia="Arial"/>
          <w:b/>
          <w:bCs/>
          <w:color w:val="000000" w:themeColor="text1"/>
        </w:rPr>
        <w:t xml:space="preserve">Justificativas para o parcelamento ou não da </w:t>
      </w:r>
      <w:r>
        <w:rPr>
          <w:rFonts w:eastAsia="Arial"/>
          <w:b/>
          <w:bCs/>
        </w:rPr>
        <w:t>contratação (PREENCHIMENTO OBRIGATÓRIO)</w:t>
      </w:r>
    </w:p>
    <w:p>
      <w:pPr>
        <w:pStyle w:val="Normal"/>
        <w:widowControl w:val="false"/>
        <w:spacing w:lineRule="auto" w:line="360"/>
        <w:jc w:val="both"/>
        <w:rPr>
          <w:rFonts w:eastAsia="Arial"/>
          <w:b/>
          <w:bCs/>
          <w:color w:val="FF0000"/>
          <w:sz w:val="22"/>
          <w:szCs w:val="22"/>
        </w:rPr>
      </w:pPr>
      <w:r>
        <w:rPr>
          <w:rFonts w:eastAsia="Arial"/>
          <w:b/>
          <w:bCs/>
          <w:color w:val="FF0000"/>
          <w:sz w:val="22"/>
          <w:szCs w:val="22"/>
        </w:rPr>
      </w:r>
    </w:p>
    <w:p>
      <w:pPr>
        <w:pStyle w:val="Normal"/>
        <w:widowControl w:val="false"/>
        <w:spacing w:lineRule="auto" w:line="360"/>
        <w:jc w:val="both"/>
        <w:rPr>
          <w:rFonts w:eastAsia="Cambria"/>
          <w:color w:val="C00000"/>
          <w:sz w:val="22"/>
          <w:szCs w:val="22"/>
        </w:rPr>
      </w:pPr>
      <w:r>
        <w:rPr>
          <w:rFonts w:eastAsia="Arial"/>
          <w:b/>
          <w:bCs/>
          <w:color w:val="C00000"/>
          <w:sz w:val="22"/>
          <w:szCs w:val="22"/>
        </w:rPr>
        <w:t xml:space="preserve">Nota explicativa: </w:t>
      </w:r>
      <w:r>
        <w:rPr>
          <w:rFonts w:eastAsia="Cambria"/>
          <w:color w:val="C00000"/>
          <w:sz w:val="22"/>
          <w:szCs w:val="22"/>
        </w:rPr>
        <w:t xml:space="preserve">Esse item visa atender ao </w:t>
      </w:r>
      <w:r>
        <w:rPr>
          <w:rFonts w:eastAsia="Cambria"/>
          <w:b/>
          <w:bCs/>
          <w:color w:val="C00000"/>
          <w:sz w:val="22"/>
          <w:szCs w:val="22"/>
        </w:rPr>
        <w:t>elemento obrigatório</w:t>
      </w:r>
      <w:r>
        <w:rPr>
          <w:rFonts w:eastAsia="Cambria"/>
          <w:color w:val="C00000"/>
          <w:sz w:val="22"/>
          <w:szCs w:val="22"/>
        </w:rPr>
        <w:t xml:space="preserve"> previsto no </w:t>
      </w:r>
      <w:r>
        <w:rPr>
          <w:rFonts w:eastAsia="Cambria"/>
          <w:b/>
          <w:bCs/>
          <w:color w:val="C00000"/>
          <w:sz w:val="22"/>
          <w:szCs w:val="22"/>
        </w:rPr>
        <w:t xml:space="preserve">inciso VIII </w:t>
      </w:r>
      <w:r>
        <w:rPr>
          <w:rFonts w:eastAsia="Cambria"/>
          <w:color w:val="C00000"/>
          <w:sz w:val="22"/>
          <w:szCs w:val="22"/>
        </w:rPr>
        <w:t>(justificativas para o parcelamento ou não da solução, considerando critérios de viabilidade técnica e econômica),</w:t>
      </w:r>
      <w:r>
        <w:rPr>
          <w:rFonts w:eastAsia="Cambria"/>
          <w:b/>
          <w:bCs/>
          <w:color w:val="C00000"/>
          <w:sz w:val="22"/>
          <w:szCs w:val="22"/>
        </w:rPr>
        <w:t xml:space="preserve"> do art. 6º,</w:t>
      </w:r>
      <w:r>
        <w:rPr>
          <w:rFonts w:eastAsia="Cambria"/>
          <w:color w:val="C00000"/>
          <w:sz w:val="22"/>
          <w:szCs w:val="22"/>
        </w:rPr>
        <w:t xml:space="preserve"> da Resolução SEPLAG nº. 115/2021.</w:t>
      </w:r>
    </w:p>
    <w:p>
      <w:pPr>
        <w:pStyle w:val="Normal"/>
        <w:spacing w:lineRule="auto" w:line="360"/>
        <w:jc w:val="both"/>
        <w:rPr>
          <w:rFonts w:eastAsia="Arial"/>
          <w:color w:val="C00000"/>
          <w:sz w:val="22"/>
          <w:szCs w:val="22"/>
        </w:rPr>
      </w:pPr>
      <w:r>
        <w:rPr>
          <w:rFonts w:eastAsia="Arial"/>
          <w:color w:val="C00000"/>
          <w:sz w:val="22"/>
          <w:szCs w:val="22"/>
        </w:rPr>
        <w:t>O parcelamento da contratação é a divisão do objeto em partes menores e independentes. Quando do parcelamento, cada parte, item, etapa ou parcela do objeto representa uma licitação/contratação isolada ou separada.</w:t>
      </w:r>
    </w:p>
    <w:p>
      <w:pPr>
        <w:pStyle w:val="Normal"/>
        <w:spacing w:lineRule="auto" w:line="360"/>
        <w:jc w:val="both"/>
        <w:rPr>
          <w:rFonts w:eastAsia="Arial"/>
          <w:color w:val="C00000"/>
          <w:sz w:val="22"/>
          <w:szCs w:val="22"/>
        </w:rPr>
      </w:pPr>
      <w:r>
        <w:rPr>
          <w:rFonts w:eastAsia="Arial"/>
          <w:color w:val="C00000"/>
          <w:sz w:val="22"/>
          <w:szCs w:val="22"/>
        </w:rPr>
        <w:t>Definido o objeto que suprirá as necessidades da Administração Pública, deve o agente público verificar se é possível e economicamente viável contratá-lo em parcelas (itens, lotes, etapas ou procedimentos distintos) que melhor aproveitem as especificidades da contratação e os recursos disponíveis no mercado.</w:t>
      </w:r>
    </w:p>
    <w:p>
      <w:pPr>
        <w:pStyle w:val="Normal"/>
        <w:spacing w:lineRule="auto" w:line="360"/>
        <w:jc w:val="both"/>
        <w:rPr>
          <w:rFonts w:eastAsia="Arial"/>
          <w:color w:val="C00000"/>
          <w:sz w:val="22"/>
          <w:szCs w:val="22"/>
        </w:rPr>
      </w:pPr>
      <w:r>
        <w:rPr>
          <w:rFonts w:eastAsia="Arial"/>
          <w:b/>
          <w:bCs/>
          <w:color w:val="C00000"/>
          <w:sz w:val="22"/>
          <w:szCs w:val="22"/>
        </w:rPr>
        <w:t>Impõe-se o parcelamento quando existir parcela do objeto de natureza específica que possa ser executada por fornecedores com especialidades próprias ou diversas. Essa decisão deve ser técnica e economicamente viável, garantir a economia de escala e se mostrar vantajosa para a Administração Pública, sem prejuízo para o conjunto ou complexo a ser contratado.</w:t>
      </w:r>
    </w:p>
    <w:p>
      <w:pPr>
        <w:pStyle w:val="Normal"/>
        <w:spacing w:lineRule="auto" w:line="360"/>
        <w:jc w:val="both"/>
        <w:rPr>
          <w:rFonts w:eastAsia="Arial"/>
          <w:color w:val="C00000"/>
          <w:sz w:val="22"/>
          <w:szCs w:val="22"/>
        </w:rPr>
      </w:pPr>
      <w:r>
        <w:rPr>
          <w:rFonts w:eastAsia="Arial"/>
          <w:color w:val="C00000"/>
          <w:sz w:val="22"/>
          <w:szCs w:val="22"/>
          <w:u w:val="single"/>
        </w:rPr>
        <w:t>O que a Lei Federal nº 8.666/83 diz sobre o parcelamento do objeto?</w:t>
      </w:r>
    </w:p>
    <w:p>
      <w:pPr>
        <w:pStyle w:val="ListParagraph"/>
        <w:spacing w:lineRule="auto" w:line="360"/>
        <w:ind w:left="2268" w:hanging="0"/>
        <w:jc w:val="both"/>
        <w:rPr>
          <w:rFonts w:eastAsia="Arial"/>
          <w:color w:val="C00000"/>
          <w:sz w:val="20"/>
          <w:szCs w:val="20"/>
        </w:rPr>
      </w:pPr>
      <w:r>
        <w:rPr>
          <w:rFonts w:eastAsia="Arial"/>
          <w:color w:val="C00000"/>
          <w:sz w:val="20"/>
          <w:szCs w:val="20"/>
        </w:rPr>
        <w:t>Art. 15. As compras, sempre que possível, deverão:</w:t>
      </w:r>
    </w:p>
    <w:p>
      <w:pPr>
        <w:pStyle w:val="ListParagraph"/>
        <w:spacing w:lineRule="auto" w:line="360"/>
        <w:ind w:left="2268" w:hanging="0"/>
        <w:jc w:val="both"/>
        <w:rPr>
          <w:rFonts w:eastAsia="Arial"/>
          <w:color w:val="C00000"/>
          <w:sz w:val="20"/>
          <w:szCs w:val="20"/>
        </w:rPr>
      </w:pPr>
      <w:r>
        <w:rPr>
          <w:rFonts w:eastAsia="Arial"/>
          <w:color w:val="C00000"/>
          <w:sz w:val="20"/>
          <w:szCs w:val="20"/>
        </w:rPr>
        <w:t>(...)</w:t>
      </w:r>
    </w:p>
    <w:p>
      <w:pPr>
        <w:pStyle w:val="ListParagraph"/>
        <w:spacing w:lineRule="auto" w:line="360"/>
        <w:ind w:left="2268" w:hanging="0"/>
        <w:jc w:val="both"/>
        <w:rPr>
          <w:rFonts w:eastAsia="Arial"/>
          <w:color w:val="C00000"/>
          <w:sz w:val="20"/>
          <w:szCs w:val="20"/>
        </w:rPr>
      </w:pPr>
      <w:r>
        <w:rPr>
          <w:rFonts w:eastAsia="Arial"/>
          <w:color w:val="C00000"/>
          <w:sz w:val="20"/>
          <w:szCs w:val="20"/>
        </w:rPr>
        <w:t>IV - ser subdivididas em tantas parcelas quantas necessárias para aproveitar as peculiaridades do mercado, visando economicidade;</w:t>
      </w:r>
    </w:p>
    <w:p>
      <w:pPr>
        <w:pStyle w:val="ListParagraph"/>
        <w:spacing w:lineRule="auto" w:line="360"/>
        <w:ind w:left="2268" w:hanging="0"/>
        <w:jc w:val="both"/>
        <w:rPr>
          <w:rFonts w:eastAsia="Arial"/>
          <w:color w:val="C00000"/>
          <w:sz w:val="20"/>
          <w:szCs w:val="20"/>
        </w:rPr>
      </w:pPr>
      <w:r>
        <w:rPr>
          <w:rFonts w:eastAsia="Arial"/>
          <w:color w:val="C00000"/>
          <w:sz w:val="20"/>
          <w:szCs w:val="20"/>
        </w:rPr>
        <w:t>(...)</w:t>
      </w:r>
    </w:p>
    <w:p>
      <w:pPr>
        <w:pStyle w:val="ListParagraph"/>
        <w:spacing w:lineRule="auto" w:line="360"/>
        <w:ind w:left="2268" w:hanging="0"/>
        <w:jc w:val="both"/>
        <w:rPr>
          <w:rFonts w:eastAsia="Arial"/>
          <w:color w:val="C00000"/>
          <w:sz w:val="20"/>
          <w:szCs w:val="20"/>
        </w:rPr>
      </w:pPr>
      <w:r>
        <w:rPr>
          <w:rFonts w:eastAsia="Arial"/>
          <w:color w:val="C00000"/>
          <w:sz w:val="20"/>
          <w:szCs w:val="20"/>
        </w:rPr>
        <w:t>Art. 23. (...)</w:t>
      </w:r>
    </w:p>
    <w:p>
      <w:pPr>
        <w:pStyle w:val="ListParagraph"/>
        <w:spacing w:lineRule="auto" w:line="360"/>
        <w:ind w:left="2268" w:hanging="0"/>
        <w:jc w:val="both"/>
        <w:rPr>
          <w:rFonts w:eastAsia="Arial"/>
          <w:color w:val="C00000"/>
          <w:sz w:val="20"/>
          <w:szCs w:val="20"/>
        </w:rPr>
      </w:pPr>
      <w:r>
        <w:rPr>
          <w:rFonts w:eastAsia="Arial"/>
          <w:color w:val="C00000"/>
          <w:sz w:val="20"/>
          <w:szCs w:val="20"/>
        </w:rPr>
        <w:t>(...)</w:t>
      </w:r>
    </w:p>
    <w:p>
      <w:pPr>
        <w:pStyle w:val="ListParagraph"/>
        <w:spacing w:lineRule="auto" w:line="360"/>
        <w:ind w:left="2268" w:hanging="0"/>
        <w:jc w:val="both"/>
        <w:rPr>
          <w:rFonts w:eastAsia="Arial"/>
          <w:color w:val="C00000"/>
          <w:sz w:val="20"/>
          <w:szCs w:val="20"/>
        </w:rPr>
      </w:pPr>
      <w:r>
        <w:rPr>
          <w:rFonts w:eastAsia="Arial"/>
          <w:color w:val="C00000"/>
          <w:sz w:val="20"/>
          <w:szCs w:val="20"/>
        </w:rPr>
        <w:t xml:space="preserve">§ 1o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w:t>
      </w:r>
    </w:p>
    <w:p>
      <w:pPr>
        <w:pStyle w:val="ListParagraph"/>
        <w:spacing w:lineRule="auto" w:line="360"/>
        <w:ind w:left="2268" w:hanging="0"/>
        <w:jc w:val="both"/>
        <w:rPr>
          <w:rFonts w:eastAsia="Arial"/>
          <w:color w:val="C00000"/>
          <w:sz w:val="20"/>
          <w:szCs w:val="20"/>
        </w:rPr>
      </w:pPr>
      <w:r>
        <w:rPr>
          <w:rFonts w:eastAsia="Arial"/>
          <w:color w:val="C00000"/>
          <w:sz w:val="20"/>
          <w:szCs w:val="20"/>
        </w:rPr>
        <w:t xml:space="preserve">§ 2o  Na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p>
    <w:p>
      <w:pPr>
        <w:pStyle w:val="Normal"/>
        <w:spacing w:lineRule="auto" w:line="360"/>
        <w:jc w:val="both"/>
        <w:rPr>
          <w:rFonts w:eastAsia="Arial"/>
          <w:color w:val="C00000"/>
          <w:sz w:val="22"/>
          <w:szCs w:val="22"/>
        </w:rPr>
      </w:pPr>
      <w:r>
        <w:rPr>
          <w:rFonts w:eastAsia="Arial"/>
          <w:color w:val="C00000"/>
          <w:sz w:val="22"/>
          <w:szCs w:val="22"/>
          <w:u w:val="single"/>
        </w:rPr>
        <w:t>Jurisprudências de relevância sobre o tema:</w:t>
      </w:r>
    </w:p>
    <w:p>
      <w:pPr>
        <w:pStyle w:val="ListParagraph"/>
        <w:numPr>
          <w:ilvl w:val="0"/>
          <w:numId w:val="5"/>
        </w:numPr>
        <w:spacing w:lineRule="auto" w:line="360"/>
        <w:ind w:left="2268" w:hanging="0"/>
        <w:jc w:val="both"/>
        <w:rPr>
          <w:rFonts w:eastAsia="Arial"/>
          <w:color w:val="C00000"/>
          <w:sz w:val="20"/>
          <w:szCs w:val="20"/>
        </w:rPr>
      </w:pPr>
      <w:r>
        <w:rPr>
          <w:rFonts w:eastAsia="Arial"/>
          <w:color w:val="C00000"/>
          <w:sz w:val="20"/>
          <w:szCs w:val="20"/>
        </w:rPr>
        <w:t>“</w:t>
      </w:r>
      <w:r>
        <w:rPr>
          <w:rFonts w:eastAsia="Arial"/>
          <w:color w:val="C00000"/>
          <w:sz w:val="20"/>
          <w:szCs w:val="20"/>
        </w:rPr>
        <w:t xml:space="preserve">É obrigatória a admissão da </w:t>
      </w:r>
      <w:r>
        <w:rPr>
          <w:rFonts w:eastAsia="Arial"/>
          <w:b/>
          <w:bCs/>
          <w:color w:val="C00000"/>
          <w:sz w:val="20"/>
          <w:szCs w:val="20"/>
        </w:rPr>
        <w:t>adjudicação por item e não por preço global, nos editais das licitações para a contratação de obras, serviços, compras e alienações, cujo objeto seja divisível, desde que não haja prejuízo para o conjunto ou complexo ou perda de economia de escala</w:t>
      </w:r>
      <w:r>
        <w:rPr>
          <w:rFonts w:eastAsia="Arial"/>
          <w:color w:val="C00000"/>
          <w:sz w:val="20"/>
          <w:szCs w:val="20"/>
        </w:rPr>
        <w:t>,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(Súmula TCU nº 247).Os itens reunidos em um lote devem guardar alguma relação entre si (Denúncia TCE/MG nº 980437/2016).</w:t>
      </w:r>
    </w:p>
    <w:p>
      <w:pPr>
        <w:pStyle w:val="ListParagraph"/>
        <w:numPr>
          <w:ilvl w:val="0"/>
          <w:numId w:val="5"/>
        </w:numPr>
        <w:spacing w:lineRule="auto" w:line="360"/>
        <w:ind w:left="2268" w:hanging="0"/>
        <w:jc w:val="both"/>
        <w:rPr>
          <w:rFonts w:eastAsia="Arial"/>
          <w:color w:val="C00000"/>
          <w:sz w:val="20"/>
          <w:szCs w:val="20"/>
        </w:rPr>
      </w:pPr>
      <w:r>
        <w:rPr>
          <w:rFonts w:eastAsia="Arial"/>
          <w:color w:val="C00000"/>
          <w:sz w:val="20"/>
          <w:szCs w:val="20"/>
        </w:rPr>
        <w:t>“</w:t>
      </w:r>
      <w:r>
        <w:rPr>
          <w:rFonts w:eastAsia="Arial"/>
          <w:color w:val="C00000"/>
          <w:sz w:val="20"/>
          <w:szCs w:val="20"/>
        </w:rPr>
        <w:t>Adicionalmente, propõe-se notificar o órgão que, no caso de se licitar itens agrupados, no processo licitatório respectivo deve constar justificativa da vantagem da escolha, devidamente fundamentada, em atenção aos artigos 3º, § 1º, I; 15, IV e 23, § 1º, todos da Lei 8.666/1993, e à Súmula TCU nº 247” (Acórdão TCU nº 5134/2014 - Segunda Câmara).</w:t>
      </w:r>
    </w:p>
    <w:p>
      <w:pPr>
        <w:pStyle w:val="Normal"/>
        <w:spacing w:lineRule="auto" w:line="360"/>
        <w:jc w:val="both"/>
        <w:rPr>
          <w:rFonts w:eastAsia="Arial"/>
          <w:color w:val="C00000"/>
          <w:sz w:val="22"/>
          <w:szCs w:val="22"/>
          <w:u w:val="single"/>
        </w:rPr>
      </w:pPr>
      <w:r>
        <w:rPr>
          <w:rFonts w:eastAsia="Arial"/>
          <w:color w:val="C00000"/>
          <w:sz w:val="22"/>
          <w:szCs w:val="22"/>
          <w:u w:val="single"/>
        </w:rPr>
        <w:t>Assim, deve este subitem justificar, com base em razões fáticas e motivadamente, o parcelamento ou não da contratação.</w:t>
      </w:r>
    </w:p>
    <w:p>
      <w:pPr>
        <w:pStyle w:val="Normal"/>
        <w:widowControl w:val="false"/>
        <w:pBdr/>
        <w:spacing w:lineRule="auto" w:line="360"/>
        <w:jc w:val="both"/>
        <w:rPr>
          <w:rFonts w:eastAsia="Arial"/>
          <w:color w:val="FF0000"/>
        </w:rPr>
      </w:pPr>
      <w:r>
        <w:rPr>
          <w:rFonts w:eastAsia="Arial"/>
          <w:color w:val="FF0000"/>
        </w:rPr>
      </w:r>
    </w:p>
    <w:p>
      <w:pPr>
        <w:pStyle w:val="ListParagraph"/>
        <w:numPr>
          <w:ilvl w:val="0"/>
          <w:numId w:val="11"/>
        </w:numPr>
        <w:pBdr/>
        <w:spacing w:lineRule="auto" w:line="360"/>
        <w:jc w:val="both"/>
        <w:rPr>
          <w:rFonts w:eastAsia="Arial"/>
          <w:b/>
          <w:bCs/>
          <w:color w:val="000000"/>
        </w:rPr>
      </w:pPr>
      <w:r>
        <w:rPr>
          <w:rFonts w:eastAsia="Arial"/>
          <w:b/>
          <w:bCs/>
          <w:color w:val="000000" w:themeColor="text1"/>
        </w:rPr>
        <w:t>Contratações correlatas e/ou interdependentes (art. 6º, XI)</w:t>
      </w:r>
    </w:p>
    <w:p>
      <w:pPr>
        <w:pStyle w:val="Normal"/>
        <w:spacing w:lineRule="auto" w:line="360"/>
        <w:jc w:val="both"/>
        <w:rPr>
          <w:rFonts w:eastAsia="Arial"/>
          <w:b/>
          <w:bCs/>
          <w:color w:val="FF0000"/>
          <w:sz w:val="22"/>
          <w:szCs w:val="22"/>
        </w:rPr>
      </w:pPr>
      <w:r>
        <w:rPr>
          <w:rFonts w:eastAsia="Arial"/>
          <w:b/>
          <w:bCs/>
          <w:color w:val="FF0000"/>
          <w:sz w:val="22"/>
          <w:szCs w:val="22"/>
        </w:rPr>
      </w:r>
    </w:p>
    <w:p>
      <w:pPr>
        <w:pStyle w:val="Normal"/>
        <w:spacing w:lineRule="auto" w:line="360"/>
        <w:jc w:val="both"/>
        <w:rPr>
          <w:rFonts w:eastAsia="Arial"/>
          <w:color w:val="C00000"/>
          <w:sz w:val="22"/>
          <w:szCs w:val="22"/>
        </w:rPr>
      </w:pPr>
      <w:r>
        <w:rPr>
          <w:rFonts w:eastAsia="Arial"/>
          <w:b/>
          <w:bCs/>
          <w:color w:val="C00000"/>
          <w:sz w:val="22"/>
          <w:szCs w:val="22"/>
        </w:rPr>
        <w:t>Nota explicativa:</w:t>
      </w:r>
      <w:r>
        <w:rPr>
          <w:rFonts w:eastAsia="Arial"/>
          <w:color w:val="C00000"/>
          <w:sz w:val="22"/>
          <w:szCs w:val="22"/>
        </w:rPr>
        <w:t xml:space="preserve"> Contratações correlatas são aquelas cujos objetos sejam similares ou correspondentes entre si.</w:t>
      </w:r>
    </w:p>
    <w:p>
      <w:pPr>
        <w:pStyle w:val="Normal"/>
        <w:spacing w:lineRule="auto" w:line="360"/>
        <w:jc w:val="both"/>
        <w:rPr>
          <w:rFonts w:eastAsia="Arial"/>
          <w:color w:val="C00000"/>
          <w:sz w:val="22"/>
          <w:szCs w:val="22"/>
        </w:rPr>
      </w:pPr>
      <w:r>
        <w:rPr>
          <w:rFonts w:eastAsia="Arial"/>
          <w:color w:val="C00000"/>
          <w:sz w:val="22"/>
          <w:szCs w:val="22"/>
        </w:rPr>
        <w:t>Já as contratações interdependentes são aquelas cuja execução da contratação tratada poderá afetar ou ser afetada por outras contratações da Administração Pública.</w:t>
      </w:r>
    </w:p>
    <w:p>
      <w:pPr>
        <w:pStyle w:val="Normal"/>
        <w:spacing w:lineRule="auto" w:line="360"/>
        <w:jc w:val="both"/>
        <w:rPr>
          <w:color w:val="C00000"/>
          <w:sz w:val="22"/>
          <w:szCs w:val="22"/>
        </w:rPr>
      </w:pPr>
      <w:r>
        <w:rPr>
          <w:rFonts w:eastAsia="Arial"/>
          <w:color w:val="C00000"/>
          <w:sz w:val="22"/>
          <w:szCs w:val="22"/>
        </w:rPr>
        <w:t>Nesse campo, de forma geral, deverá ser informado se existem demais contratações que guardam relação/afinidade com o objeto contratação pretendida, já realizadas ou mesmo futuras.</w:t>
      </w:r>
    </w:p>
    <w:p>
      <w:pPr>
        <w:pStyle w:val="Normal"/>
        <w:spacing w:lineRule="auto" w:line="360"/>
        <w:jc w:val="both"/>
        <w:rPr>
          <w:rFonts w:eastAsia="Arial"/>
          <w:color w:val="C00000"/>
          <w:sz w:val="22"/>
          <w:szCs w:val="22"/>
        </w:rPr>
      </w:pPr>
      <w:r>
        <w:rPr>
          <w:rFonts w:eastAsia="Arial"/>
          <w:color w:val="C00000"/>
          <w:sz w:val="22"/>
          <w:szCs w:val="22"/>
        </w:rPr>
        <w:t>Em resumo, objetiva-se uma visão global de contratações correlatas e interdependentes em relação à contratação almejada com vistas a identificar se existem ações complementares a serem inseridas no planejamento da contratação objetivada.</w:t>
      </w:r>
    </w:p>
    <w:p>
      <w:pPr>
        <w:pStyle w:val="Normal"/>
        <w:pBdr/>
        <w:spacing w:lineRule="auto" w:line="360"/>
        <w:jc w:val="both"/>
        <w:rPr>
          <w:rFonts w:eastAsia="Cambria"/>
          <w:color w:val="C00000"/>
          <w:sz w:val="22"/>
          <w:szCs w:val="22"/>
        </w:rPr>
      </w:pPr>
      <w:r>
        <w:rPr>
          <w:rFonts w:eastAsia="Cambria"/>
          <w:color w:val="C00000"/>
          <w:sz w:val="22"/>
          <w:szCs w:val="22"/>
        </w:rPr>
        <w:t xml:space="preserve">Esse item visa atender ao elemento previsto no </w:t>
      </w:r>
      <w:r>
        <w:rPr>
          <w:rFonts w:eastAsia="Cambria"/>
          <w:b/>
          <w:bCs/>
          <w:color w:val="C00000"/>
          <w:sz w:val="22"/>
          <w:szCs w:val="22"/>
        </w:rPr>
        <w:t xml:space="preserve">inciso XI </w:t>
      </w:r>
      <w:r>
        <w:rPr>
          <w:rFonts w:eastAsia="Cambria"/>
          <w:color w:val="C00000"/>
          <w:sz w:val="22"/>
          <w:szCs w:val="22"/>
        </w:rPr>
        <w:t>(considerações sobre contratações correlatas ou interdependentes),</w:t>
      </w:r>
      <w:r>
        <w:rPr>
          <w:rFonts w:eastAsia="Cambria"/>
          <w:b/>
          <w:bCs/>
          <w:color w:val="C00000"/>
          <w:sz w:val="22"/>
          <w:szCs w:val="22"/>
        </w:rPr>
        <w:t xml:space="preserve"> do art. 6º</w:t>
      </w:r>
      <w:r>
        <w:rPr>
          <w:rFonts w:eastAsia="Cambria"/>
          <w:color w:val="C00000"/>
          <w:sz w:val="22"/>
          <w:szCs w:val="22"/>
        </w:rPr>
        <w:t>, da Resolução SEPLAG nº. 115/2021 e, caso não seja preenchido, é necessária justificativa.</w:t>
      </w:r>
    </w:p>
    <w:p>
      <w:pPr>
        <w:pStyle w:val="Normal"/>
        <w:pBdr/>
        <w:spacing w:lineRule="auto" w:line="360"/>
        <w:jc w:val="both"/>
        <w:rPr>
          <w:rFonts w:eastAsia="Cambria"/>
          <w:color w:val="FF0000"/>
          <w:sz w:val="22"/>
          <w:szCs w:val="22"/>
        </w:rPr>
      </w:pPr>
      <w:r>
        <w:rPr>
          <w:rFonts w:eastAsia="Cambria"/>
          <w:color w:val="FF0000"/>
          <w:sz w:val="22"/>
          <w:szCs w:val="22"/>
        </w:rPr>
      </w:r>
    </w:p>
    <w:p>
      <w:pPr>
        <w:pStyle w:val="ListParagraph"/>
        <w:numPr>
          <w:ilvl w:val="0"/>
          <w:numId w:val="11"/>
        </w:numPr>
        <w:pBdr/>
        <w:spacing w:lineRule="auto" w:line="360"/>
        <w:jc w:val="both"/>
        <w:rPr>
          <w:rFonts w:eastAsia="Arial"/>
          <w:b/>
          <w:bCs/>
          <w:color w:val="000000" w:themeColor="text1"/>
        </w:rPr>
      </w:pPr>
      <w:r>
        <w:rPr>
          <w:rFonts w:eastAsia="Arial"/>
          <w:b/>
          <w:bCs/>
          <w:color w:val="000000" w:themeColor="text1"/>
        </w:rPr>
        <w:t>Resultados pretendidos (art. 6º, IX)</w:t>
      </w:r>
    </w:p>
    <w:p>
      <w:pPr>
        <w:pStyle w:val="Normal"/>
        <w:pBdr/>
        <w:spacing w:lineRule="auto" w:line="360"/>
        <w:jc w:val="both"/>
        <w:rPr>
          <w:rFonts w:eastAsia="Arial"/>
          <w:b/>
          <w:bCs/>
          <w:color w:val="FF0000"/>
          <w:sz w:val="22"/>
          <w:szCs w:val="22"/>
        </w:rPr>
      </w:pPr>
      <w:r>
        <w:rPr>
          <w:rFonts w:eastAsia="Arial"/>
          <w:b/>
          <w:bCs/>
          <w:color w:val="FF0000"/>
          <w:sz w:val="22"/>
          <w:szCs w:val="22"/>
        </w:rPr>
      </w:r>
    </w:p>
    <w:p>
      <w:pPr>
        <w:pStyle w:val="Normal"/>
        <w:pBdr/>
        <w:spacing w:lineRule="auto" w:line="360"/>
        <w:jc w:val="both"/>
        <w:rPr>
          <w:rFonts w:eastAsia="Arial"/>
          <w:color w:val="C00000"/>
          <w:sz w:val="22"/>
          <w:szCs w:val="22"/>
        </w:rPr>
      </w:pPr>
      <w:r>
        <w:rPr>
          <w:rFonts w:eastAsia="Arial"/>
          <w:b/>
          <w:bCs/>
          <w:color w:val="C00000"/>
          <w:sz w:val="22"/>
          <w:szCs w:val="22"/>
        </w:rPr>
        <w:t>Nota explicativa:</w:t>
      </w:r>
      <w:r>
        <w:rPr>
          <w:rFonts w:eastAsia="Arial"/>
          <w:color w:val="C00000"/>
          <w:sz w:val="22"/>
          <w:szCs w:val="22"/>
        </w:rPr>
        <w:t xml:space="preserve"> </w:t>
      </w:r>
      <w:r>
        <w:rPr>
          <w:color w:val="C00000"/>
          <w:sz w:val="22"/>
          <w:szCs w:val="22"/>
        </w:rPr>
        <w:t>O</w:t>
      </w:r>
      <w:r>
        <w:rPr>
          <w:rFonts w:eastAsia="Arial"/>
          <w:color w:val="C00000"/>
          <w:sz w:val="22"/>
          <w:szCs w:val="22"/>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pPr>
        <w:pStyle w:val="Normal"/>
        <w:spacing w:lineRule="auto" w:line="360"/>
        <w:ind w:left="54" w:hanging="0"/>
        <w:jc w:val="both"/>
        <w:rPr>
          <w:rFonts w:eastAsia="Arial"/>
          <w:color w:val="C00000"/>
          <w:sz w:val="22"/>
          <w:szCs w:val="22"/>
        </w:rPr>
      </w:pPr>
      <w:r>
        <w:rPr>
          <w:rFonts w:eastAsia="Arial"/>
          <w:color w:val="C00000"/>
          <w:sz w:val="22"/>
          <w:szCs w:val="22"/>
        </w:rPr>
        <w:t xml:space="preserve">Os resultados pretendidos carecem:  </w:t>
      </w:r>
    </w:p>
    <w:p>
      <w:pPr>
        <w:pStyle w:val="Normal"/>
        <w:spacing w:lineRule="auto" w:line="360"/>
        <w:ind w:left="1134" w:hanging="0"/>
        <w:jc w:val="both"/>
        <w:rPr>
          <w:rFonts w:eastAsia="Arial"/>
          <w:color w:val="C00000"/>
          <w:sz w:val="22"/>
          <w:szCs w:val="22"/>
        </w:rPr>
      </w:pPr>
      <w:r>
        <w:rPr>
          <w:rFonts w:eastAsia="Arial"/>
          <w:color w:val="C00000"/>
          <w:sz w:val="22"/>
          <w:szCs w:val="22"/>
        </w:rPr>
        <w:t xml:space="preserve">a) ser formulados sempre em termos de negócio, nunca em termos dos meios para atingir o negócio (p. ex: na contratação de software para automatizar um processo de trabalho do órgão, pode-se definir como um dos resultados pretendidos a diminuição do tempo médio para emissão de um determinado tipo de certidão); </w:t>
      </w:r>
    </w:p>
    <w:p>
      <w:pPr>
        <w:pStyle w:val="Normal"/>
        <w:spacing w:lineRule="auto" w:line="360"/>
        <w:ind w:left="1134" w:hanging="0"/>
        <w:jc w:val="both"/>
        <w:rPr>
          <w:rFonts w:eastAsia="Arial"/>
          <w:color w:val="C00000"/>
          <w:sz w:val="22"/>
          <w:szCs w:val="22"/>
        </w:rPr>
      </w:pPr>
      <w:r>
        <w:rPr>
          <w:rFonts w:eastAsia="Arial"/>
          <w:color w:val="C00000"/>
          <w:sz w:val="22"/>
          <w:szCs w:val="22"/>
        </w:rPr>
        <w:t>b) ser mensuráveis por meio de critério de medição estabelecido pelo órgão/entidade, possibilitando aferir o alcance dos resultados declarados após a implantação da solução.</w:t>
      </w:r>
    </w:p>
    <w:p>
      <w:pPr>
        <w:pStyle w:val="Normal"/>
        <w:spacing w:lineRule="auto" w:line="360"/>
        <w:ind w:left="1134" w:hanging="0"/>
        <w:jc w:val="both"/>
        <w:rPr>
          <w:rFonts w:eastAsia="Arial"/>
          <w:color w:val="C00000"/>
          <w:sz w:val="22"/>
          <w:szCs w:val="22"/>
        </w:rPr>
      </w:pPr>
      <w:r>
        <w:rPr>
          <w:rFonts w:eastAsia="Arial"/>
          <w:color w:val="C00000"/>
          <w:sz w:val="22"/>
          <w:szCs w:val="22"/>
        </w:rPr>
        <w:t>c) se referirem a resultados realistas, ou seja, condizentes com as soluções existentes, factíveis e aptos a promoverem o atendimento da necessidade que gerou a contratação.</w:t>
      </w:r>
    </w:p>
    <w:p>
      <w:pPr>
        <w:pStyle w:val="Normal"/>
        <w:pBdr/>
        <w:spacing w:lineRule="auto" w:line="360"/>
        <w:jc w:val="both"/>
        <w:rPr>
          <w:rFonts w:eastAsia="Arial"/>
          <w:color w:val="C00000"/>
          <w:sz w:val="22"/>
          <w:szCs w:val="22"/>
        </w:rPr>
      </w:pPr>
      <w:r>
        <w:rPr>
          <w:rFonts w:eastAsia="Arial"/>
          <w:color w:val="C00000"/>
          <w:sz w:val="22"/>
          <w:szCs w:val="22"/>
        </w:rPr>
      </w:r>
    </w:p>
    <w:p>
      <w:pPr>
        <w:pStyle w:val="Normal"/>
        <w:pBdr/>
        <w:spacing w:lineRule="auto" w:line="360"/>
        <w:jc w:val="both"/>
        <w:rPr>
          <w:rFonts w:eastAsia="Cambria"/>
          <w:color w:val="C00000"/>
          <w:sz w:val="22"/>
          <w:szCs w:val="22"/>
        </w:rPr>
      </w:pPr>
      <w:r>
        <w:rPr>
          <w:rFonts w:eastAsia="Cambria"/>
          <w:color w:val="C00000"/>
          <w:sz w:val="22"/>
          <w:szCs w:val="22"/>
        </w:rPr>
        <w:t xml:space="preserve">Esse item visa atender ao elemento previsto no </w:t>
      </w:r>
      <w:r>
        <w:rPr>
          <w:rFonts w:eastAsia="Cambria"/>
          <w:b/>
          <w:bCs/>
          <w:color w:val="C00000"/>
          <w:sz w:val="22"/>
          <w:szCs w:val="22"/>
        </w:rPr>
        <w:t xml:space="preserve">inciso IX </w:t>
      </w:r>
      <w:r>
        <w:rPr>
          <w:rFonts w:eastAsia="Cambria"/>
          <w:color w:val="C00000"/>
          <w:sz w:val="22"/>
          <w:szCs w:val="22"/>
        </w:rPr>
        <w:t>(demonstrativo dos resultados pretendidos, em termos de economicidade e de melhor aproveitamento dos recursos humanos, materiais e financeiros disponíveis)</w:t>
      </w:r>
      <w:r>
        <w:rPr>
          <w:rFonts w:eastAsia="Cambria"/>
          <w:b/>
          <w:bCs/>
          <w:color w:val="C00000"/>
          <w:sz w:val="22"/>
          <w:szCs w:val="22"/>
        </w:rPr>
        <w:t>, do art. 6º</w:t>
      </w:r>
      <w:r>
        <w:rPr>
          <w:rFonts w:eastAsia="Cambria"/>
          <w:color w:val="C00000"/>
          <w:sz w:val="22"/>
          <w:szCs w:val="22"/>
        </w:rPr>
        <w:t>, da Resolução SEPLAG nº. 115/2021 e, caso não seja preenchido, é necessária justificativa.</w:t>
      </w:r>
    </w:p>
    <w:p>
      <w:pPr>
        <w:pStyle w:val="Normal"/>
        <w:pBdr/>
        <w:spacing w:lineRule="auto" w:line="360"/>
        <w:jc w:val="both"/>
        <w:rPr>
          <w:rFonts w:eastAsia="Arial"/>
          <w:b/>
          <w:bCs/>
          <w:color w:val="FF0000"/>
        </w:rPr>
      </w:pPr>
      <w:r>
        <w:rPr>
          <w:rFonts w:eastAsia="Arial"/>
          <w:b/>
          <w:bCs/>
          <w:color w:val="FF0000"/>
        </w:rPr>
      </w:r>
    </w:p>
    <w:p>
      <w:pPr>
        <w:pStyle w:val="ListParagraph"/>
        <w:numPr>
          <w:ilvl w:val="0"/>
          <w:numId w:val="11"/>
        </w:numPr>
        <w:pBdr/>
        <w:spacing w:lineRule="auto" w:line="360"/>
        <w:jc w:val="both"/>
        <w:rPr>
          <w:rFonts w:eastAsia="Arial"/>
          <w:b/>
          <w:bCs/>
          <w:color w:val="000000" w:themeColor="text1"/>
        </w:rPr>
      </w:pPr>
      <w:r>
        <w:rPr>
          <w:rFonts w:eastAsia="Arial"/>
          <w:b/>
          <w:bCs/>
          <w:color w:val="000000" w:themeColor="text1"/>
        </w:rPr>
        <w:t>Providências a serem adotadas (art. 6º, X)</w:t>
      </w:r>
    </w:p>
    <w:p>
      <w:pPr>
        <w:pStyle w:val="Normal"/>
        <w:pBdr/>
        <w:spacing w:lineRule="auto" w:line="360"/>
        <w:jc w:val="both"/>
        <w:rPr>
          <w:rFonts w:eastAsia="Arial"/>
          <w:b/>
          <w:bCs/>
          <w:color w:val="FF0000"/>
          <w:sz w:val="22"/>
          <w:szCs w:val="22"/>
        </w:rPr>
      </w:pPr>
      <w:r>
        <w:rPr>
          <w:rFonts w:eastAsia="Arial"/>
          <w:b/>
          <w:bCs/>
          <w:color w:val="FF0000"/>
          <w:sz w:val="22"/>
          <w:szCs w:val="22"/>
        </w:rPr>
      </w:r>
    </w:p>
    <w:p>
      <w:pPr>
        <w:pStyle w:val="Normal"/>
        <w:pBdr/>
        <w:spacing w:lineRule="auto" w:line="360"/>
        <w:jc w:val="both"/>
        <w:rPr>
          <w:rFonts w:eastAsia="Arial"/>
          <w:color w:val="C00000"/>
          <w:sz w:val="22"/>
          <w:szCs w:val="22"/>
        </w:rPr>
      </w:pPr>
      <w:r>
        <w:rPr>
          <w:rFonts w:eastAsia="Arial"/>
          <w:b/>
          <w:bCs/>
          <w:color w:val="C00000"/>
          <w:sz w:val="22"/>
          <w:szCs w:val="22"/>
        </w:rPr>
        <w:t>Nota explicativa:</w:t>
      </w:r>
      <w:r>
        <w:rPr>
          <w:rFonts w:eastAsia="Arial"/>
          <w:color w:val="C00000"/>
          <w:sz w:val="22"/>
          <w:szCs w:val="22"/>
        </w:rPr>
        <w:t xml:space="preserve"> Realizar o levantamento das ações necessárias para que a contratação surta seus efeitos, considerando os riscos de a contratação restar prejudicada caso os ajustes não ocorram em tempo. Sugere-se que as ações necessárias sejam sistematizadas por meio de um plano de ação, matriz de risco, ou outra ferramenta de gestão, capaz de evidenciar, no mínimo, a(o): atividade, responsável pela atividade, data de início e data de término.</w:t>
      </w:r>
    </w:p>
    <w:p>
      <w:pPr>
        <w:pStyle w:val="Normal"/>
        <w:pBdr/>
        <w:spacing w:lineRule="auto" w:line="360"/>
        <w:jc w:val="both"/>
        <w:rPr>
          <w:rFonts w:eastAsia="Arial"/>
          <w:color w:val="C00000"/>
          <w:sz w:val="22"/>
          <w:szCs w:val="22"/>
        </w:rPr>
      </w:pPr>
      <w:r>
        <w:rPr>
          <w:rFonts w:eastAsia="Arial"/>
          <w:color w:val="C00000"/>
          <w:sz w:val="22"/>
          <w:szCs w:val="22"/>
        </w:rPr>
        <w:t>A identificação de providências a serem adotadas podem ser constatadas através dos seguintes questionamentos, dentre outros: (i) Havendo contrato vigente no órgão/entidade para o mesmo objeto, há a necessidade de a contratada promover a transição contratual? (ii) A prestação dos serviços ou a entrega dos bens exigem adequações no ambiente físico? (iii) Há necessidade de capacitação dos servidores para fiscalização e/ou gestão contratual?</w:t>
      </w:r>
    </w:p>
    <w:p>
      <w:pPr>
        <w:pStyle w:val="Normal"/>
        <w:pBdr/>
        <w:spacing w:lineRule="auto" w:line="360"/>
        <w:jc w:val="both"/>
        <w:rPr>
          <w:rFonts w:eastAsia="Cambria"/>
          <w:color w:val="C00000"/>
          <w:sz w:val="22"/>
          <w:szCs w:val="22"/>
        </w:rPr>
      </w:pPr>
      <w:r>
        <w:rPr>
          <w:rFonts w:eastAsia="Cambria"/>
          <w:color w:val="C00000"/>
          <w:sz w:val="22"/>
          <w:szCs w:val="22"/>
        </w:rPr>
        <w:t xml:space="preserve">Esse item visa atender ao elemento previsto no </w:t>
      </w:r>
      <w:r>
        <w:rPr>
          <w:rFonts w:eastAsia="Cambria"/>
          <w:b/>
          <w:bCs/>
          <w:color w:val="C00000"/>
          <w:sz w:val="22"/>
          <w:szCs w:val="22"/>
        </w:rPr>
        <w:t xml:space="preserve">inciso X </w:t>
      </w:r>
      <w:r>
        <w:rPr>
          <w:rFonts w:eastAsia="Cambria"/>
          <w:color w:val="C00000"/>
          <w:sz w:val="22"/>
          <w:szCs w:val="22"/>
        </w:rPr>
        <w:t>(providências a serem adotadas pela Administração previamente à celebração do contrato, se for o caso, inclusive quanto à capacitação de servidores ou de empregados para fiscalização e gestão contratual)</w:t>
      </w:r>
      <w:r>
        <w:rPr>
          <w:rFonts w:eastAsia="Cambria"/>
          <w:b/>
          <w:bCs/>
          <w:color w:val="C00000"/>
          <w:sz w:val="22"/>
          <w:szCs w:val="22"/>
        </w:rPr>
        <w:t>, do art. 6º</w:t>
      </w:r>
      <w:r>
        <w:rPr>
          <w:rFonts w:eastAsia="Cambria"/>
          <w:color w:val="C00000"/>
          <w:sz w:val="22"/>
          <w:szCs w:val="22"/>
        </w:rPr>
        <w:t>, da Resolução SEPLAG nº. 115/2021 e, caso não seja preenchido, é necessária justificativa</w:t>
      </w:r>
    </w:p>
    <w:p>
      <w:pPr>
        <w:pStyle w:val="Normal"/>
        <w:pBdr/>
        <w:spacing w:lineRule="auto" w:line="360"/>
        <w:jc w:val="both"/>
        <w:rPr>
          <w:color w:val="FF0000"/>
          <w:sz w:val="22"/>
          <w:szCs w:val="22"/>
        </w:rPr>
      </w:pPr>
      <w:r>
        <w:rPr>
          <w:color w:val="FF0000"/>
          <w:sz w:val="22"/>
          <w:szCs w:val="22"/>
        </w:rPr>
      </w:r>
    </w:p>
    <w:p>
      <w:pPr>
        <w:pStyle w:val="ListParagraph"/>
        <w:numPr>
          <w:ilvl w:val="0"/>
          <w:numId w:val="11"/>
        </w:numPr>
        <w:spacing w:lineRule="auto" w:line="360"/>
        <w:rPr>
          <w:rFonts w:eastAsia="Arial"/>
          <w:b/>
          <w:bCs/>
          <w:color w:val="000000"/>
        </w:rPr>
      </w:pPr>
      <w:r>
        <w:rPr>
          <w:rFonts w:eastAsia="Arial"/>
          <w:b/>
          <w:bCs/>
          <w:color w:val="000000" w:themeColor="text1"/>
        </w:rPr>
        <w:t>Possíveis impactos ambientais (art. 6º, XII)</w:t>
      </w:r>
    </w:p>
    <w:p>
      <w:pPr>
        <w:pStyle w:val="ListParagraph"/>
        <w:spacing w:lineRule="auto" w:line="360"/>
        <w:rPr>
          <w:rFonts w:eastAsia="Arial"/>
          <w:b/>
          <w:bCs/>
          <w:color w:val="000000"/>
        </w:rPr>
      </w:pPr>
      <w:r>
        <w:rPr>
          <w:rFonts w:eastAsia="Arial"/>
          <w:b/>
          <w:bCs/>
          <w:color w:val="000000"/>
        </w:rPr>
      </w:r>
    </w:p>
    <w:p>
      <w:pPr>
        <w:pStyle w:val="Normal"/>
        <w:widowControl w:val="false"/>
        <w:pBdr/>
        <w:spacing w:lineRule="auto" w:line="360"/>
        <w:jc w:val="both"/>
        <w:rPr>
          <w:rFonts w:eastAsia="Arial"/>
          <w:b/>
          <w:bCs/>
          <w:color w:val="C00000"/>
          <w:sz w:val="22"/>
          <w:szCs w:val="22"/>
        </w:rPr>
      </w:pPr>
      <w:r>
        <w:rPr>
          <w:rFonts w:eastAsia="Arial"/>
          <w:b/>
          <w:bCs/>
          <w:color w:val="C00000"/>
          <w:sz w:val="22"/>
          <w:szCs w:val="22"/>
        </w:rPr>
      </w:r>
    </w:p>
    <w:p>
      <w:pPr>
        <w:pStyle w:val="Normal"/>
        <w:widowControl w:val="false"/>
        <w:pBdr/>
        <w:spacing w:lineRule="auto" w:line="360"/>
        <w:jc w:val="both"/>
        <w:rPr>
          <w:rFonts w:eastAsia="Arial"/>
          <w:color w:val="C00000"/>
          <w:sz w:val="22"/>
          <w:szCs w:val="22"/>
        </w:rPr>
      </w:pPr>
      <w:r>
        <w:rPr>
          <w:rFonts w:eastAsia="Arial"/>
          <w:b/>
          <w:bCs/>
          <w:color w:val="C00000"/>
          <w:sz w:val="22"/>
          <w:szCs w:val="22"/>
        </w:rPr>
        <w:t xml:space="preserve">Nota Explicativa: </w:t>
      </w:r>
      <w:r>
        <w:rPr>
          <w:rFonts w:eastAsia="Arial"/>
          <w:color w:val="C00000"/>
          <w:sz w:val="22"/>
          <w:szCs w:val="22"/>
        </w:rPr>
        <w:t>É necessário descrever os possíveis impactos ambientais e respectivas medidas de tratamento ou mitigadoras buscando sanar os riscos ambientais existentes.</w:t>
      </w:r>
    </w:p>
    <w:p>
      <w:pPr>
        <w:pStyle w:val="ListParagraph"/>
        <w:widowControl w:val="false"/>
        <w:numPr>
          <w:ilvl w:val="0"/>
          <w:numId w:val="6"/>
        </w:numPr>
        <w:pBdr/>
        <w:spacing w:lineRule="auto" w:line="360"/>
        <w:ind w:left="1134" w:hanging="0"/>
        <w:jc w:val="both"/>
        <w:rPr>
          <w:rFonts w:eastAsia="Arial"/>
          <w:color w:val="C00000"/>
          <w:sz w:val="22"/>
          <w:szCs w:val="22"/>
        </w:rPr>
      </w:pPr>
      <w:r>
        <w:rPr>
          <w:rFonts w:eastAsia="Arial"/>
          <w:color w:val="C00000"/>
          <w:sz w:val="22"/>
          <w:szCs w:val="22"/>
        </w:rPr>
        <w:t xml:space="preserve">Há a possibilidade de inclusão de critérios de sustentabilidade na contratação, desde a especificação técnica até as obrigações da contratada (sugestão de referência </w:t>
      </w:r>
      <w:hyperlink r:id="rId3">
        <w:r>
          <w:rPr>
            <w:rStyle w:val="LinkdaInternet"/>
            <w:rFonts w:eastAsia="Arial"/>
            <w:sz w:val="22"/>
            <w:szCs w:val="22"/>
          </w:rPr>
          <w:t>Guia Nacional de Licitações Sustentáveis da CGU/AGU</w:t>
        </w:r>
      </w:hyperlink>
      <w:r>
        <w:rPr>
          <w:rFonts w:eastAsia="Arial"/>
          <w:color w:val="C00000"/>
          <w:sz w:val="22"/>
          <w:szCs w:val="22"/>
        </w:rPr>
        <w:t xml:space="preserve">)? </w:t>
      </w:r>
    </w:p>
    <w:p>
      <w:pPr>
        <w:pStyle w:val="ListParagraph"/>
        <w:widowControl w:val="false"/>
        <w:numPr>
          <w:ilvl w:val="0"/>
          <w:numId w:val="6"/>
        </w:numPr>
        <w:pBdr/>
        <w:spacing w:lineRule="auto" w:line="360"/>
        <w:ind w:left="1134" w:hanging="0"/>
        <w:jc w:val="both"/>
        <w:rPr>
          <w:color w:val="C00000"/>
          <w:sz w:val="22"/>
          <w:szCs w:val="22"/>
        </w:rPr>
      </w:pPr>
      <w:r>
        <w:rPr>
          <w:rFonts w:eastAsia="Arial"/>
          <w:b/>
          <w:bCs/>
          <w:color w:val="C00000"/>
          <w:sz w:val="22"/>
          <w:szCs w:val="22"/>
        </w:rPr>
        <w:t>O Guia Nacional de Licitações Sustentáveis da CGU/AGU demonstra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pPr>
        <w:pStyle w:val="ListParagraph"/>
        <w:numPr>
          <w:ilvl w:val="0"/>
          <w:numId w:val="6"/>
        </w:numPr>
        <w:spacing w:lineRule="auto" w:line="360"/>
        <w:ind w:left="1134" w:hanging="0"/>
        <w:jc w:val="both"/>
        <w:rPr>
          <w:b/>
          <w:bCs/>
          <w:color w:val="C00000"/>
        </w:rPr>
      </w:pPr>
      <w:r>
        <w:rPr>
          <w:rFonts w:eastAsia="Arial"/>
          <w:color w:val="C00000"/>
          <w:sz w:val="22"/>
          <w:szCs w:val="22"/>
        </w:rPr>
        <w:t xml:space="preserve">Assim, reforça-se o </w:t>
      </w:r>
      <w:hyperlink r:id="rId4">
        <w:r>
          <w:rPr>
            <w:rStyle w:val="LinkdaInternet"/>
            <w:rFonts w:eastAsia="Arial"/>
            <w:sz w:val="22"/>
            <w:szCs w:val="22"/>
          </w:rPr>
          <w:t>Parecer n. 00001/2021 CNS/CGU/AGU</w:t>
        </w:r>
      </w:hyperlink>
      <w:r>
        <w:rPr>
          <w:rFonts w:eastAsia="Arial"/>
          <w:color w:val="C00000"/>
          <w:sz w:val="22"/>
          <w:szCs w:val="22"/>
        </w:rPr>
        <w:t xml:space="preserve"> que claramente diz que a Administração Pública é obrigada “</w:t>
      </w:r>
      <w:r>
        <w:rPr>
          <w:color w:val="C00000"/>
          <w:sz w:val="22"/>
          <w:szCs w:val="22"/>
        </w:rPr>
        <w:t xml:space="preserve">a adotar critérios e práticas de sustentabilidade socioambiental e de acessibilidade nas contratações públicas, nas fases de planejamento, seleção de fornecedor, execução contratual, fiscalização e na gestão dos resíduos sólidos”. Tal documento também estabelece que </w:t>
      </w:r>
      <w:r>
        <w:rPr>
          <w:b/>
          <w:bCs/>
          <w:color w:val="C00000"/>
          <w:sz w:val="22"/>
          <w:szCs w:val="22"/>
        </w:rPr>
        <w:t>a “impossibilidade de adoção de tais critérios e práticas de sustentabilidade nas contratações públicas deverá ser justificada pelo gestor competente nos autos do processo administrativo, com a indicação das pertinentes razões de fato e/ou direito</w:t>
      </w:r>
      <w:r>
        <w:rPr>
          <w:color w:val="C00000"/>
          <w:sz w:val="22"/>
          <w:szCs w:val="22"/>
        </w:rPr>
        <w:t>”.</w:t>
      </w:r>
    </w:p>
    <w:p>
      <w:pPr>
        <w:pStyle w:val="ListParagraph"/>
        <w:widowControl w:val="false"/>
        <w:numPr>
          <w:ilvl w:val="0"/>
          <w:numId w:val="6"/>
        </w:numPr>
        <w:pBdr/>
        <w:spacing w:lineRule="auto" w:line="360"/>
        <w:ind w:left="1134" w:hanging="0"/>
        <w:jc w:val="both"/>
        <w:rPr>
          <w:b/>
          <w:bCs/>
          <w:strike/>
          <w:color w:val="C00000"/>
          <w:sz w:val="22"/>
          <w:szCs w:val="22"/>
        </w:rPr>
      </w:pPr>
      <w:r>
        <w:rPr>
          <w:color w:val="C00000"/>
          <w:sz w:val="22"/>
          <w:szCs w:val="22"/>
        </w:rPr>
        <w:t>“</w:t>
      </w:r>
      <w:r>
        <w:rPr>
          <w:color w:val="C00000"/>
          <w:sz w:val="22"/>
          <w:szCs w:val="22"/>
        </w:rPr>
        <w:t>No Brasil, a promoção de práticas de contratações públicas sustentáveis vem sendo feita, gradativamente, mediante alterações na legislação (Ex.: Lei nº 12.349, de 2010, que alterou o art. 3º da Lei nº 8.666, de 1993” (p. 18)</w:t>
      </w:r>
    </w:p>
    <w:p>
      <w:pPr>
        <w:pStyle w:val="ListParagraph"/>
        <w:widowControl w:val="false"/>
        <w:numPr>
          <w:ilvl w:val="0"/>
          <w:numId w:val="6"/>
        </w:numPr>
        <w:pBdr/>
        <w:spacing w:lineRule="auto" w:line="360"/>
        <w:ind w:left="1134" w:hanging="0"/>
        <w:jc w:val="both"/>
        <w:rPr>
          <w:color w:val="C00000"/>
          <w:sz w:val="22"/>
          <w:szCs w:val="22"/>
        </w:rPr>
      </w:pPr>
      <w:r>
        <w:rPr>
          <w:color w:val="C00000"/>
          <w:sz w:val="22"/>
          <w:szCs w:val="22"/>
        </w:rPr>
        <w:t>“</w:t>
      </w:r>
      <w:r>
        <w:rPr>
          <w:color w:val="C00000"/>
          <w:sz w:val="22"/>
          <w:szCs w:val="22"/>
        </w:rPr>
        <w:t xml:space="preserve">Em outros termos, podemos afirmar que </w:t>
      </w:r>
      <w:r>
        <w:rPr>
          <w:b/>
          <w:bCs/>
          <w:color w:val="C00000"/>
          <w:sz w:val="22"/>
          <w:szCs w:val="22"/>
        </w:rPr>
        <w:t>a contratação sustentável não pode mais ser considerada como exceção no cotidiano da Administração Pública</w:t>
      </w:r>
      <w:r>
        <w:rPr>
          <w:color w:val="C00000"/>
          <w:sz w:val="22"/>
          <w:szCs w:val="22"/>
        </w:rPr>
        <w:t xml:space="preserve">. Ao contrário, ainda que sua implantação esteja ocorrendo de uma maneira gradativa, </w:t>
      </w:r>
      <w:r>
        <w:rPr>
          <w:b/>
          <w:bCs/>
          <w:color w:val="C00000"/>
          <w:sz w:val="22"/>
          <w:szCs w:val="22"/>
        </w:rPr>
        <w:t>a realização da contratação sustentável pela Administração Pública, na forma descrita nos parágrafos anteriores, deixou de ser medida excepcional para ser a regra geral</w:t>
      </w:r>
      <w:r>
        <w:rPr>
          <w:color w:val="C00000"/>
          <w:sz w:val="22"/>
          <w:szCs w:val="22"/>
        </w:rPr>
        <w:t>” (p. 21).</w:t>
      </w:r>
    </w:p>
    <w:p>
      <w:pPr>
        <w:pStyle w:val="ListParagraph"/>
        <w:widowControl w:val="false"/>
        <w:numPr>
          <w:ilvl w:val="0"/>
          <w:numId w:val="6"/>
        </w:numPr>
        <w:pBdr/>
        <w:spacing w:lineRule="auto" w:line="360"/>
        <w:ind w:left="1134" w:hanging="0"/>
        <w:jc w:val="both"/>
        <w:rPr>
          <w:color w:val="C00000"/>
          <w:sz w:val="22"/>
          <w:szCs w:val="22"/>
        </w:rPr>
      </w:pPr>
      <w:r>
        <w:rPr>
          <w:rFonts w:eastAsia="Arial"/>
          <w:color w:val="C00000"/>
          <w:sz w:val="22"/>
          <w:szCs w:val="22"/>
        </w:rPr>
        <w:t>Também é prudente indicar eventuais ajustes e adequações que a contratante deverá providenciar para a concretização da contratação sustentável, como capacitações, adequações no ambiente organizacional, entre outros.</w:t>
      </w:r>
    </w:p>
    <w:p>
      <w:pPr>
        <w:pStyle w:val="ListParagraph"/>
        <w:widowControl w:val="false"/>
        <w:numPr>
          <w:ilvl w:val="0"/>
          <w:numId w:val="6"/>
        </w:numPr>
        <w:pBdr/>
        <w:spacing w:lineRule="auto" w:line="360"/>
        <w:ind w:left="1134" w:hanging="0"/>
        <w:jc w:val="both"/>
        <w:rPr>
          <w:color w:val="C00000"/>
          <w:sz w:val="22"/>
          <w:szCs w:val="22"/>
        </w:rPr>
      </w:pPr>
      <w:r>
        <w:rPr>
          <w:color w:val="C00000"/>
          <w:sz w:val="22"/>
          <w:szCs w:val="22"/>
        </w:rPr>
        <w:t>“</w:t>
      </w:r>
      <w:r>
        <w:rPr>
          <w:color w:val="C00000"/>
          <w:sz w:val="22"/>
          <w:szCs w:val="22"/>
        </w:rPr>
        <w:t xml:space="preserve">Os impactos ambientais podem ser negativos, exigindo maior cuidado, medidas de mitigação ou de prevenção. Quando positivos, são benéficos para a contratação pretendida. </w:t>
      </w:r>
      <w:r>
        <w:rPr>
          <w:b/>
          <w:bCs/>
          <w:color w:val="C00000"/>
          <w:sz w:val="22"/>
          <w:szCs w:val="22"/>
        </w:rPr>
        <w:t>Portanto, cabe ao órgão licitante informar sobre os impactos ambientais nos estudos preliminares, bem como sobre medidas de tratamento, caso aplicáveis</w:t>
      </w:r>
      <w:r>
        <w:rPr>
          <w:color w:val="C00000"/>
          <w:sz w:val="22"/>
          <w:szCs w:val="22"/>
        </w:rPr>
        <w:t>” (p. 44).</w:t>
      </w:r>
    </w:p>
    <w:p>
      <w:pPr>
        <w:pStyle w:val="ListParagraph"/>
        <w:widowControl w:val="false"/>
        <w:numPr>
          <w:ilvl w:val="0"/>
          <w:numId w:val="6"/>
        </w:numPr>
        <w:pBdr/>
        <w:spacing w:lineRule="auto" w:line="360"/>
        <w:ind w:left="1134" w:hanging="0"/>
        <w:jc w:val="both"/>
        <w:rPr>
          <w:strike/>
          <w:color w:val="C00000"/>
          <w:sz w:val="22"/>
          <w:szCs w:val="22"/>
        </w:rPr>
      </w:pPr>
      <w:r>
        <w:rPr>
          <w:color w:val="C00000"/>
          <w:sz w:val="22"/>
          <w:szCs w:val="22"/>
        </w:rPr>
        <w:t>“</w:t>
      </w:r>
      <w:r>
        <w:rPr>
          <w:color w:val="C00000"/>
          <w:sz w:val="22"/>
          <w:szCs w:val="22"/>
        </w:rPr>
        <w:t>A Resolução CONAMA nº 001, de 23 de janeiro de 1986, ao dispor sobre o Estudo de Impacto Ambiental, estabelece o que deve fazer parte do seu conteúdo mínimo:</w:t>
      </w:r>
    </w:p>
    <w:p>
      <w:pPr>
        <w:pStyle w:val="Normal"/>
        <w:widowControl w:val="false"/>
        <w:pBdr/>
        <w:spacing w:lineRule="auto" w:line="360"/>
        <w:ind w:left="2268" w:hanging="0"/>
        <w:jc w:val="both"/>
        <w:rPr>
          <w:color w:val="C00000"/>
          <w:sz w:val="20"/>
          <w:szCs w:val="20"/>
        </w:rPr>
      </w:pPr>
      <w:r>
        <w:rPr>
          <w:color w:val="C00000"/>
          <w:sz w:val="20"/>
          <w:szCs w:val="20"/>
        </w:rPr>
        <w:t>Artigo 6º - O estudo de impacto ambiental desenvolverá, no mínimo, as seguintes atividades técnicas:</w:t>
      </w:r>
    </w:p>
    <w:p>
      <w:pPr>
        <w:pStyle w:val="Normal"/>
        <w:widowControl w:val="false"/>
        <w:pBdr/>
        <w:spacing w:lineRule="auto" w:line="360"/>
        <w:ind w:left="2268" w:hanging="0"/>
        <w:jc w:val="both"/>
        <w:rPr>
          <w:color w:val="C00000"/>
          <w:sz w:val="20"/>
          <w:szCs w:val="20"/>
        </w:rPr>
      </w:pPr>
      <w:r>
        <w:rPr>
          <w:color w:val="C00000"/>
          <w:sz w:val="20"/>
          <w:szCs w:val="20"/>
        </w:rPr>
        <w:t>I - Diagnóstico ambiental da área de influência do projeto completa descrição e análise dos recursos ambientais e suas interações, tal como existem, de modo a caracterizar a situação ambiental da área, antes da implantação do projeto, considerando:</w:t>
      </w:r>
    </w:p>
    <w:p>
      <w:pPr>
        <w:pStyle w:val="Normal"/>
        <w:widowControl w:val="false"/>
        <w:pBdr/>
        <w:spacing w:lineRule="auto" w:line="360"/>
        <w:ind w:left="2268" w:hanging="0"/>
        <w:jc w:val="both"/>
        <w:rPr>
          <w:color w:val="C00000"/>
          <w:sz w:val="20"/>
          <w:szCs w:val="20"/>
        </w:rPr>
      </w:pPr>
      <w:r>
        <w:rPr>
          <w:color w:val="C00000"/>
          <w:sz w:val="20"/>
          <w:szCs w:val="20"/>
        </w:rPr>
        <w:t>a) o meio físico – o subsolo, as águas, o ar e o clima, destacando os recursos minerais, a topografia, os tipos e aptidões do solo, os corpos d’água, o regime hidrológico, as correntes marinhas, as correntes atmosféricas;</w:t>
      </w:r>
    </w:p>
    <w:p>
      <w:pPr>
        <w:pStyle w:val="Normal"/>
        <w:widowControl w:val="false"/>
        <w:pBdr/>
        <w:spacing w:lineRule="auto" w:line="360"/>
        <w:ind w:left="2268" w:hanging="0"/>
        <w:jc w:val="both"/>
        <w:rPr>
          <w:color w:val="C00000"/>
          <w:sz w:val="20"/>
          <w:szCs w:val="20"/>
        </w:rPr>
      </w:pPr>
      <w:r>
        <w:rPr>
          <w:color w:val="C00000"/>
          <w:sz w:val="20"/>
          <w:szCs w:val="20"/>
        </w:rPr>
        <w:t>b) o meio biológico e os ecossistemas naturais – a fauna e a flora, destacando as espécies indicadoras da qualidade ambiental, de valor científico e econômico, raras e ameaçadas de extinção e as áreas de preservação permanente;</w:t>
      </w:r>
    </w:p>
    <w:p>
      <w:pPr>
        <w:pStyle w:val="Normal"/>
        <w:widowControl w:val="false"/>
        <w:pBdr/>
        <w:spacing w:lineRule="auto" w:line="360"/>
        <w:ind w:left="2268" w:hanging="0"/>
        <w:jc w:val="both"/>
        <w:rPr>
          <w:color w:val="C00000"/>
          <w:sz w:val="20"/>
          <w:szCs w:val="20"/>
        </w:rPr>
      </w:pPr>
      <w:r>
        <w:rPr>
          <w:color w:val="C00000"/>
          <w:sz w:val="20"/>
          <w:szCs w:val="20"/>
        </w:rPr>
        <w:t>c) o meio sócio-econômico – o uso e ocupação do solo, os usos da água e a sócio-economia, destacando os sítios e monumentos arqueológicos, históricos e culturais da comunidade, as relações de dependência entre a sociedade local, os recursos ambientais e a potencial utilização futura desses recursos.</w:t>
      </w:r>
    </w:p>
    <w:p>
      <w:pPr>
        <w:pStyle w:val="Normal"/>
        <w:widowControl w:val="false"/>
        <w:pBdr/>
        <w:spacing w:lineRule="auto" w:line="360"/>
        <w:ind w:left="2268" w:hanging="0"/>
        <w:jc w:val="both"/>
        <w:rPr>
          <w:color w:val="C00000"/>
          <w:sz w:val="20"/>
          <w:szCs w:val="20"/>
        </w:rPr>
      </w:pPr>
      <w:r>
        <w:rPr>
          <w:color w:val="C00000"/>
          <w:sz w:val="20"/>
          <w:szCs w:val="20"/>
        </w:rPr>
        <w:t>II – Análise dos impactos ambientais do projeto e de suas alternativas, através de identificação, previsão da magnitude e interpretação da importância dos prováveis impactos relevantes, discriminando: os impactos positivos e negativos (benéficos e adversos), diretos e indiretos, imediatos e a médio e longo prazos, temporários e permanentes; seu grau de reversibilidade; suas propriedades cumulativas e sinérgicas; a distribuição dos ônus e benefícios sociais.</w:t>
      </w:r>
    </w:p>
    <w:p>
      <w:pPr>
        <w:pStyle w:val="Normal"/>
        <w:widowControl w:val="false"/>
        <w:pBdr/>
        <w:spacing w:lineRule="auto" w:line="360"/>
        <w:ind w:left="2268" w:hanging="0"/>
        <w:jc w:val="both"/>
        <w:rPr>
          <w:color w:val="C00000"/>
          <w:sz w:val="20"/>
          <w:szCs w:val="20"/>
        </w:rPr>
      </w:pPr>
      <w:r>
        <w:rPr>
          <w:color w:val="C00000"/>
          <w:sz w:val="20"/>
          <w:szCs w:val="20"/>
        </w:rPr>
        <w:t>III – Definição das medidas mitigadoras dos impactos negativos, entre elas os equipamentos de controle e sistemas de tratamento de despejos, avaliando a eficiência de cada uma delas.</w:t>
      </w:r>
    </w:p>
    <w:p>
      <w:pPr>
        <w:pStyle w:val="Normal"/>
        <w:widowControl w:val="false"/>
        <w:pBdr/>
        <w:spacing w:lineRule="auto" w:line="360"/>
        <w:ind w:left="2268" w:hanging="0"/>
        <w:jc w:val="both"/>
        <w:rPr>
          <w:rFonts w:eastAsia="Arial"/>
          <w:color w:val="C00000"/>
          <w:sz w:val="22"/>
          <w:szCs w:val="22"/>
        </w:rPr>
      </w:pPr>
      <w:r>
        <w:rPr>
          <w:color w:val="C00000"/>
          <w:sz w:val="20"/>
          <w:szCs w:val="20"/>
        </w:rPr>
        <w:t>lV – Elaboração do programa de acompanhamento e monitoramento dos impactos positivos e negativos, indicando os fatores e parâmetros a serem considerados”</w:t>
      </w:r>
    </w:p>
    <w:p>
      <w:pPr>
        <w:pStyle w:val="Normal"/>
        <w:pBdr/>
        <w:spacing w:lineRule="auto" w:line="360"/>
        <w:jc w:val="both"/>
        <w:rPr>
          <w:rFonts w:eastAsia="Cambria"/>
          <w:color w:val="C00000"/>
          <w:sz w:val="22"/>
          <w:szCs w:val="22"/>
        </w:rPr>
      </w:pPr>
      <w:r>
        <w:rPr>
          <w:rFonts w:eastAsia="Cambria"/>
          <w:color w:val="C00000"/>
          <w:sz w:val="22"/>
          <w:szCs w:val="22"/>
        </w:rPr>
      </w:r>
    </w:p>
    <w:p>
      <w:pPr>
        <w:pStyle w:val="Normal"/>
        <w:pBdr/>
        <w:spacing w:lineRule="auto" w:line="360"/>
        <w:jc w:val="both"/>
        <w:rPr>
          <w:rFonts w:eastAsia="Cambria"/>
          <w:color w:val="C00000"/>
          <w:sz w:val="22"/>
          <w:szCs w:val="22"/>
        </w:rPr>
      </w:pPr>
      <w:r>
        <w:rPr>
          <w:rFonts w:eastAsia="Cambria"/>
          <w:color w:val="C00000"/>
          <w:sz w:val="22"/>
          <w:szCs w:val="22"/>
        </w:rPr>
        <w:t xml:space="preserve">Esse item visa atender ao elemento previsto no </w:t>
      </w:r>
      <w:r>
        <w:rPr>
          <w:rFonts w:eastAsia="Cambria"/>
          <w:b/>
          <w:bCs/>
          <w:color w:val="C00000"/>
          <w:sz w:val="22"/>
          <w:szCs w:val="22"/>
        </w:rPr>
        <w:t xml:space="preserve">inciso XII </w:t>
      </w:r>
      <w:r>
        <w:rPr>
          <w:rFonts w:eastAsia="Cambria"/>
          <w:color w:val="C00000"/>
          <w:sz w:val="22"/>
          <w:szCs w:val="22"/>
        </w:rPr>
        <w:t>(descrição de possíveis impactos ambientais e respectivas medidas mitigadoras, incluídos requisitos de baixo consumo de energia e de outros recursos, bem como logística reversa para desfazimento e reciclagem de bens e refugos, quando aplicável),</w:t>
      </w:r>
      <w:r>
        <w:rPr>
          <w:rFonts w:eastAsia="Cambria"/>
          <w:b/>
          <w:bCs/>
          <w:color w:val="C00000"/>
          <w:sz w:val="22"/>
          <w:szCs w:val="22"/>
        </w:rPr>
        <w:t xml:space="preserve"> do art. 6º</w:t>
      </w:r>
      <w:r>
        <w:rPr>
          <w:rFonts w:eastAsia="Cambria"/>
          <w:color w:val="C00000"/>
          <w:sz w:val="22"/>
          <w:szCs w:val="22"/>
        </w:rPr>
        <w:t>, da Resolução SEPLAG nº. 115/2021 e, caso não seja preenchido, é necessária justificativa.</w:t>
      </w:r>
    </w:p>
    <w:p>
      <w:pPr>
        <w:pStyle w:val="Normal"/>
        <w:pBdr/>
        <w:spacing w:lineRule="auto" w:line="360"/>
        <w:jc w:val="both"/>
        <w:rPr>
          <w:rFonts w:eastAsia="Cambria"/>
          <w:color w:val="FF0000"/>
          <w:sz w:val="22"/>
          <w:szCs w:val="22"/>
        </w:rPr>
      </w:pPr>
      <w:r>
        <w:rPr>
          <w:rFonts w:eastAsia="Cambria"/>
          <w:color w:val="FF0000"/>
          <w:sz w:val="22"/>
          <w:szCs w:val="22"/>
        </w:rPr>
      </w:r>
    </w:p>
    <w:p>
      <w:pPr>
        <w:pStyle w:val="Default"/>
        <w:shd w:val="clear" w:color="auto" w:fill="7F7F7F" w:themeFill="text1" w:themeFillTint="80"/>
        <w:spacing w:lineRule="auto" w:line="360"/>
        <w:rPr>
          <w:rFonts w:ascii="Times New Roman" w:hAnsi="Times New Roman" w:cs="Times New Roman"/>
          <w:b/>
          <w:bCs/>
          <w:color w:val="FFFFFF" w:themeColor="background1"/>
        </w:rPr>
      </w:pPr>
      <w:r>
        <w:rPr>
          <w:rFonts w:cs="Times New Roman" w:ascii="Times New Roman" w:hAnsi="Times New Roman"/>
          <w:b/>
          <w:bCs/>
          <w:color w:val="FFFFFF" w:themeColor="background1"/>
        </w:rPr>
        <w:t>V - POSICIONAMENTO CONCLUSIVO (PREENCHIMENTO OBRIGATÓRIO) (art. 6º, XIII)</w:t>
      </w:r>
    </w:p>
    <w:p>
      <w:pPr>
        <w:pStyle w:val="Normal"/>
        <w:pBdr/>
        <w:spacing w:lineRule="auto" w:line="360"/>
        <w:jc w:val="both"/>
        <w:rPr>
          <w:rFonts w:eastAsia="Arial"/>
          <w:b/>
          <w:bCs/>
          <w:color w:val="FF0000"/>
          <w:sz w:val="22"/>
          <w:szCs w:val="22"/>
        </w:rPr>
      </w:pPr>
      <w:r>
        <w:rPr>
          <w:rFonts w:eastAsia="Arial"/>
          <w:b/>
          <w:bCs/>
          <w:color w:val="FF0000"/>
          <w:sz w:val="22"/>
          <w:szCs w:val="22"/>
        </w:rPr>
      </w:r>
    </w:p>
    <w:p>
      <w:pPr>
        <w:pStyle w:val="Normal"/>
        <w:pBdr/>
        <w:spacing w:lineRule="auto" w:line="360"/>
        <w:jc w:val="both"/>
        <w:rPr>
          <w:rFonts w:eastAsia="Cambria"/>
          <w:color w:val="C00000"/>
          <w:sz w:val="22"/>
          <w:szCs w:val="22"/>
        </w:rPr>
      </w:pPr>
      <w:r>
        <w:rPr>
          <w:rFonts w:eastAsia="Arial"/>
          <w:b/>
          <w:bCs/>
          <w:color w:val="C00000"/>
          <w:sz w:val="22"/>
          <w:szCs w:val="22"/>
        </w:rPr>
        <w:t xml:space="preserve">Nota explicativa: </w:t>
      </w:r>
      <w:r>
        <w:rPr>
          <w:rFonts w:eastAsia="Cambria"/>
          <w:color w:val="C00000"/>
          <w:sz w:val="22"/>
          <w:szCs w:val="22"/>
        </w:rPr>
        <w:t xml:space="preserve">Esse item visa atender ao </w:t>
      </w:r>
      <w:r>
        <w:rPr>
          <w:rFonts w:eastAsia="Cambria"/>
          <w:b/>
          <w:bCs/>
          <w:color w:val="C00000"/>
          <w:sz w:val="22"/>
          <w:szCs w:val="22"/>
        </w:rPr>
        <w:t>elemento obrigatório</w:t>
      </w:r>
      <w:r>
        <w:rPr>
          <w:rFonts w:eastAsia="Cambria"/>
          <w:color w:val="C00000"/>
          <w:sz w:val="22"/>
          <w:szCs w:val="22"/>
        </w:rPr>
        <w:t xml:space="preserve"> previsto no </w:t>
      </w:r>
      <w:r>
        <w:rPr>
          <w:rFonts w:eastAsia="Cambria"/>
          <w:b/>
          <w:bCs/>
          <w:color w:val="C00000"/>
          <w:sz w:val="22"/>
          <w:szCs w:val="22"/>
        </w:rPr>
        <w:t xml:space="preserve">inciso XIII </w:t>
      </w:r>
      <w:r>
        <w:rPr>
          <w:rFonts w:eastAsia="Cambria"/>
          <w:color w:val="C00000"/>
          <w:sz w:val="22"/>
          <w:szCs w:val="22"/>
        </w:rPr>
        <w:t>(posicionamento conclusivo sobre a adequação da contratação para o atendimento da necessidade a que se destina)</w:t>
      </w:r>
      <w:r>
        <w:rPr>
          <w:rFonts w:eastAsia="Cambria"/>
          <w:b/>
          <w:bCs/>
          <w:color w:val="C00000"/>
          <w:sz w:val="22"/>
          <w:szCs w:val="22"/>
        </w:rPr>
        <w:t>, do art. 6º</w:t>
      </w:r>
      <w:r>
        <w:rPr>
          <w:rFonts w:eastAsia="Cambria"/>
          <w:color w:val="C00000"/>
          <w:sz w:val="22"/>
          <w:szCs w:val="22"/>
        </w:rPr>
        <w:t>, da Resolução SEPLAG nº. 115/2021.</w:t>
      </w:r>
    </w:p>
    <w:p>
      <w:pPr>
        <w:pStyle w:val="Normal"/>
        <w:pBdr/>
        <w:spacing w:lineRule="auto" w:line="360"/>
        <w:jc w:val="both"/>
        <w:rPr>
          <w:rFonts w:eastAsia="Arial"/>
          <w:color w:val="C00000"/>
        </w:rPr>
      </w:pPr>
      <w:r>
        <w:rPr>
          <w:rFonts w:eastAsia="Arial"/>
          <w:color w:val="C00000"/>
        </w:rPr>
        <w:t xml:space="preserve">O posicionamento conclusivo do ETP irá sinalizar, </w:t>
      </w:r>
      <w:r>
        <w:rPr>
          <w:rFonts w:eastAsia="Arial"/>
          <w:color w:val="C00000"/>
          <w:sz w:val="22"/>
          <w:szCs w:val="22"/>
        </w:rPr>
        <w:t xml:space="preserve">com base em razões fáticas e motivadamente, </w:t>
      </w:r>
      <w:r>
        <w:rPr>
          <w:rFonts w:eastAsia="Arial"/>
          <w:color w:val="C00000"/>
        </w:rPr>
        <w:t xml:space="preserve">a adequação da solução escolhida frente ao atendimento da necessidade a que se destina. </w:t>
      </w:r>
    </w:p>
    <w:p>
      <w:pPr>
        <w:pStyle w:val="ListParagraph"/>
        <w:spacing w:lineRule="auto" w:line="360"/>
        <w:ind w:left="0" w:hanging="0"/>
        <w:jc w:val="both"/>
        <w:rPr>
          <w:rFonts w:eastAsia="Arial"/>
          <w:color w:val="C00000"/>
          <w:sz w:val="22"/>
          <w:szCs w:val="22"/>
        </w:rPr>
      </w:pPr>
      <w:r>
        <w:rPr>
          <w:rFonts w:eastAsia="Arial"/>
          <w:color w:val="C00000"/>
          <w:sz w:val="22"/>
          <w:szCs w:val="22"/>
        </w:rPr>
        <w:t>Assim, a declaração de viabilidade da contratação deve se basear em informações constantes tanto no próprio estudo técnico preliminar quanto em documentos complementares, a serem acostados ao processo administrativo, quando for o caso.</w:t>
      </w:r>
    </w:p>
    <w:p>
      <w:pPr>
        <w:pStyle w:val="ListParagraph"/>
        <w:spacing w:lineRule="auto" w:line="360"/>
        <w:ind w:left="0" w:hanging="0"/>
        <w:jc w:val="both"/>
        <w:rPr>
          <w:rFonts w:eastAsia="Arial"/>
          <w:color w:val="C00000"/>
          <w:sz w:val="22"/>
          <w:szCs w:val="22"/>
        </w:rPr>
      </w:pPr>
      <w:r>
        <w:rPr>
          <w:rFonts w:eastAsia="Arial"/>
          <w:color w:val="C00000"/>
          <w:sz w:val="22"/>
          <w:szCs w:val="22"/>
        </w:rPr>
        <w:t>A viabilidade da contratação deve ser fundamentada na capacidade de a solução priorizada alcançar, da melhor forma possível, os interesses público e institucional.</w:t>
      </w:r>
    </w:p>
    <w:p>
      <w:pPr>
        <w:pStyle w:val="ListParagraph"/>
        <w:spacing w:lineRule="auto" w:line="360"/>
        <w:ind w:left="0" w:hanging="0"/>
        <w:jc w:val="both"/>
        <w:rPr>
          <w:rFonts w:eastAsia="Arial"/>
          <w:color w:val="C00000"/>
          <w:sz w:val="22"/>
          <w:szCs w:val="22"/>
        </w:rPr>
      </w:pPr>
      <w:r>
        <w:rPr>
          <w:rFonts w:eastAsia="Arial"/>
          <w:color w:val="C00000"/>
          <w:sz w:val="22"/>
          <w:szCs w:val="22"/>
        </w:rPr>
        <w:t>Por outro lado, identificada que a contratação não se refere à melhor solução, dentre as possíveis, apta a promover o atendimento das necessidades da Administração, este subitem, considerando as informações constantes no ETP e a documentação complementar, deverá evidenciar o motivo da contratação não ser suficiente para resolver o problema e qual solução, de forma fundamentada, é vislumbrada pela Administração como adequada.</w:t>
      </w:r>
    </w:p>
    <w:p>
      <w:pPr>
        <w:pStyle w:val="Normal"/>
        <w:spacing w:lineRule="auto" w:line="360"/>
        <w:ind w:left="2268" w:hanging="0"/>
        <w:jc w:val="both"/>
        <w:rPr>
          <w:rFonts w:eastAsia="Arial"/>
          <w:color w:val="C00000"/>
          <w:sz w:val="20"/>
          <w:szCs w:val="20"/>
        </w:rPr>
      </w:pPr>
      <w:r>
        <w:rPr>
          <w:rFonts w:eastAsia="Arial"/>
          <w:color w:val="C00000"/>
          <w:sz w:val="20"/>
          <w:szCs w:val="20"/>
        </w:rPr>
      </w:r>
    </w:p>
    <w:p>
      <w:pPr>
        <w:pStyle w:val="Normal"/>
        <w:widowControl w:val="false"/>
        <w:spacing w:lineRule="auto" w:line="360"/>
        <w:ind w:left="720" w:firstLine="709"/>
        <w:jc w:val="both"/>
        <w:rPr>
          <w:rFonts w:eastAsia="Calibri"/>
          <w:color w:val="000000" w:themeColor="text1"/>
        </w:rPr>
      </w:pPr>
      <w:r>
        <w:rPr>
          <w:rFonts w:eastAsia="Calibri"/>
          <w:color w:val="000000" w:themeColor="text1"/>
        </w:rPr>
      </w:r>
      <w:bookmarkStart w:id="2" w:name="_k96llbbutqew"/>
      <w:bookmarkStart w:id="3" w:name="_k96llbbutqew"/>
      <w:bookmarkEnd w:id="3"/>
    </w:p>
    <w:tbl>
      <w:tblPr>
        <w:tblW w:w="935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354"/>
      </w:tblGrid>
      <w:tr>
        <w:trPr/>
        <w:tc>
          <w:tcPr>
            <w:tcW w:w="935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ind w:left="360" w:firstLine="709"/>
              <w:jc w:val="both"/>
              <w:rPr>
                <w:rFonts w:eastAsia="Calibri"/>
                <w:b/>
                <w:bCs/>
              </w:rPr>
            </w:pPr>
            <w:r>
              <w:rPr>
                <w:rFonts w:eastAsia="Calibri"/>
                <w:b/>
                <w:bCs/>
              </w:rPr>
              <w:t>ASSINATURAS:</w:t>
            </w:r>
          </w:p>
          <w:p>
            <w:pPr>
              <w:pStyle w:val="Normal"/>
              <w:widowControl w:val="false"/>
              <w:numPr>
                <w:ilvl w:val="0"/>
                <w:numId w:val="3"/>
              </w:numPr>
              <w:spacing w:lineRule="auto" w:line="360"/>
              <w:ind w:firstLine="709"/>
              <w:jc w:val="both"/>
              <w:rPr>
                <w:rFonts w:eastAsia="Calibri"/>
              </w:rPr>
            </w:pPr>
            <w:r>
              <w:rPr>
                <w:rFonts w:eastAsia="Calibri"/>
              </w:rPr>
              <w:t>Equipe de Planejamento da Contratação e Autoridade Competente nos termos do art. 5º da Resolução SEPLAG nº 115/2021.</w:t>
            </w:r>
          </w:p>
        </w:tc>
      </w:tr>
    </w:tbl>
    <w:p>
      <w:pPr>
        <w:pStyle w:val="Normal"/>
        <w:spacing w:lineRule="auto" w:line="360"/>
        <w:ind w:firstLine="709"/>
        <w:jc w:val="both"/>
        <w:rPr>
          <w:rFonts w:eastAsia="Calibri"/>
        </w:rPr>
      </w:pPr>
      <w:r>
        <w:rPr/>
      </w:r>
    </w:p>
    <w:sectPr>
      <w:headerReference w:type="default" r:id="rId5"/>
      <w:footerReference w:type="default" r:id="rId6"/>
      <w:type w:val="nextPage"/>
      <w:pgSz w:w="11906" w:h="16838"/>
      <w:pgMar w:left="1418" w:right="1134" w:gutter="0" w:header="709" w:top="1418" w:footer="709" w:bottom="1418"/>
      <w:pgBorders w:display="allPages" w:offsetFrom="page">
        <w:top w:val="single" w:sz="6" w:space="24" w:color="595959"/>
        <w:left w:val="single" w:sz="6" w:space="24" w:color="595959"/>
        <w:bottom w:val="single" w:sz="6" w:space="24" w:color="595959"/>
        <w:right w:val="single" w:sz="6" w:space="24" w:color="595959"/>
      </w:pgBorders>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34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115"/>
      <w:gridCol w:w="3115"/>
      <w:gridCol w:w="3115"/>
    </w:tblGrid>
    <w:tr>
      <w:trPr/>
      <w:tc>
        <w:tcPr>
          <w:tcW w:w="3115" w:type="dxa"/>
          <w:tcBorders/>
        </w:tcPr>
        <w:p>
          <w:pPr>
            <w:pStyle w:val="Cabealho"/>
            <w:widowControl w:val="false"/>
            <w:ind w:left="-115" w:hanging="0"/>
            <w:rPr/>
          </w:pPr>
          <w:r>
            <w:rPr/>
          </w:r>
        </w:p>
      </w:tc>
      <w:tc>
        <w:tcPr>
          <w:tcW w:w="3115" w:type="dxa"/>
          <w:tcBorders/>
        </w:tcPr>
        <w:p>
          <w:pPr>
            <w:pStyle w:val="Cabealho"/>
            <w:widowControl w:val="false"/>
            <w:jc w:val="center"/>
            <w:rPr/>
          </w:pPr>
          <w:r>
            <w:rPr/>
          </w:r>
        </w:p>
      </w:tc>
      <w:tc>
        <w:tcPr>
          <w:tcW w:w="3115" w:type="dxa"/>
          <w:tcBorders/>
        </w:tcPr>
        <w:p>
          <w:pPr>
            <w:pStyle w:val="Cabealho"/>
            <w:widowControl w:val="false"/>
            <w:ind w:right="-115" w:hanging="0"/>
            <w:jc w:val="right"/>
            <w:rPr/>
          </w:pPr>
          <w:r>
            <w:rPr/>
          </w:r>
        </w:p>
      </w:tc>
    </w:tr>
  </w:tbl>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34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115"/>
      <w:gridCol w:w="3115"/>
      <w:gridCol w:w="3115"/>
    </w:tblGrid>
    <w:tr>
      <w:trPr/>
      <w:tc>
        <w:tcPr>
          <w:tcW w:w="3115" w:type="dxa"/>
          <w:tcBorders/>
        </w:tcPr>
        <w:p>
          <w:pPr>
            <w:pStyle w:val="Cabealho"/>
            <w:widowControl w:val="false"/>
            <w:ind w:left="-115" w:hanging="0"/>
            <w:rPr/>
          </w:pPr>
          <w:r>
            <w:rPr/>
          </w:r>
        </w:p>
      </w:tc>
      <w:tc>
        <w:tcPr>
          <w:tcW w:w="3115" w:type="dxa"/>
          <w:tcBorders/>
        </w:tcPr>
        <w:p>
          <w:pPr>
            <w:pStyle w:val="Cabealho"/>
            <w:widowControl w:val="false"/>
            <w:jc w:val="center"/>
            <w:rPr/>
          </w:pPr>
          <w:r>
            <w:rPr/>
          </w:r>
        </w:p>
      </w:tc>
      <w:tc>
        <w:tcPr>
          <w:tcW w:w="3115" w:type="dxa"/>
          <w:tcBorders/>
        </w:tcPr>
        <w:p>
          <w:pPr>
            <w:pStyle w:val="Cabealho"/>
            <w:widowControl w:val="false"/>
            <w:ind w:right="-115" w:hanging="0"/>
            <w:jc w:val="right"/>
            <w:rPr/>
          </w:pPr>
          <w:r>
            <w:rPr/>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lowerLetter"/>
      <w:lvlText w:val="%1)"/>
      <w:lvlJc w:val="left"/>
      <w:pPr>
        <w:tabs>
          <w:tab w:val="num" w:pos="0"/>
        </w:tabs>
        <w:ind w:left="0" w:hanging="0"/>
      </w:pPr>
      <w:rPr>
        <w:dstrike w:val="false"/>
        <w:strike w:val="false"/>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517f"/>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rPr>
  </w:style>
  <w:style w:type="paragraph" w:styleId="Ttulo5">
    <w:name w:val="Heading 5"/>
    <w:basedOn w:val="Normal"/>
    <w:next w:val="Normal"/>
    <w:qFormat/>
    <w:pPr>
      <w:keepNext w:val="true"/>
      <w:keepLines/>
      <w:spacing w:before="220" w:after="40"/>
      <w:outlineLvl w:val="4"/>
    </w:pPr>
    <w:rPr>
      <w:b/>
      <w:sz w:val="22"/>
      <w:szCs w:val="22"/>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b5dfa"/>
    <w:rPr>
      <w:sz w:val="16"/>
      <w:szCs w:val="16"/>
    </w:rPr>
  </w:style>
  <w:style w:type="character" w:styleId="TextodecomentrioChar" w:customStyle="1">
    <w:name w:val="Texto de comentário Char"/>
    <w:basedOn w:val="DefaultParagraphFont"/>
    <w:link w:val="Annotationtext"/>
    <w:uiPriority w:val="99"/>
    <w:qFormat/>
    <w:rsid w:val="00fb5dfa"/>
    <w:rPr>
      <w:sz w:val="20"/>
      <w:szCs w:val="20"/>
    </w:rPr>
  </w:style>
  <w:style w:type="character" w:styleId="AssuntodocomentrioChar" w:customStyle="1">
    <w:name w:val="Assunto do comentário Char"/>
    <w:basedOn w:val="TextodecomentrioChar"/>
    <w:link w:val="Annotationsubject"/>
    <w:uiPriority w:val="99"/>
    <w:semiHidden/>
    <w:qFormat/>
    <w:rsid w:val="00fb5dfa"/>
    <w:rPr>
      <w:b/>
      <w:bCs/>
      <w:sz w:val="20"/>
      <w:szCs w:val="20"/>
    </w:rPr>
  </w:style>
  <w:style w:type="character" w:styleId="LinkdaInternet">
    <w:name w:val="Hyperlink"/>
    <w:basedOn w:val="DefaultParagraphFont"/>
    <w:uiPriority w:val="99"/>
    <w:unhideWhenUsed/>
    <w:rPr>
      <w:color w:val="0000FF" w:themeColor="hyperlink"/>
      <w:u w:val="single"/>
    </w:rPr>
  </w:style>
  <w:style w:type="character" w:styleId="MenoPendente1" w:customStyle="1">
    <w:name w:val="Menção Pendente1"/>
    <w:basedOn w:val="DefaultParagraphFont"/>
    <w:uiPriority w:val="99"/>
    <w:semiHidden/>
    <w:unhideWhenUsed/>
    <w:qFormat/>
    <w:rsid w:val="00f962d6"/>
    <w:rPr>
      <w:color w:val="605E5C"/>
      <w:shd w:fill="E1DFDD" w:val="clear"/>
    </w:rPr>
  </w:style>
  <w:style w:type="character" w:styleId="CabealhoChar" w:customStyle="1">
    <w:name w:val="Cabeçalho Char"/>
    <w:basedOn w:val="DefaultParagraphFont"/>
    <w:uiPriority w:val="99"/>
    <w:qFormat/>
    <w:rPr/>
  </w:style>
  <w:style w:type="character" w:styleId="RodapChar" w:customStyle="1">
    <w:name w:val="Rodapé Char"/>
    <w:basedOn w:val="DefaultParagraphFont"/>
    <w:uiPriority w:val="99"/>
    <w:qFormat/>
    <w:rPr/>
  </w:style>
  <w:style w:type="character" w:styleId="Normaltextrun" w:customStyle="1">
    <w:name w:val="normaltextrun"/>
    <w:basedOn w:val="DefaultParagraphFont"/>
    <w:qFormat/>
    <w:rsid w:val="00634d77"/>
    <w:rPr/>
  </w:style>
  <w:style w:type="character" w:styleId="Eop" w:customStyle="1">
    <w:name w:val="eop"/>
    <w:basedOn w:val="DefaultParagraphFont"/>
    <w:qFormat/>
    <w:rsid w:val="00634d77"/>
    <w:rPr/>
  </w:style>
  <w:style w:type="character" w:styleId="TextodebaloChar" w:customStyle="1">
    <w:name w:val="Texto de balão Char"/>
    <w:basedOn w:val="DefaultParagraphFont"/>
    <w:link w:val="BalloonText"/>
    <w:uiPriority w:val="99"/>
    <w:semiHidden/>
    <w:qFormat/>
    <w:rsid w:val="00073ecf"/>
    <w:rPr>
      <w:rFonts w:ascii="Segoe UI" w:hAnsi="Segoe UI" w:cs="Segoe UI"/>
      <w:sz w:val="18"/>
      <w:szCs w:val="18"/>
    </w:rPr>
  </w:style>
  <w:style w:type="character" w:styleId="PlaceholderText">
    <w:name w:val="Placeholder Text"/>
    <w:basedOn w:val="DefaultParagraphFont"/>
    <w:uiPriority w:val="99"/>
    <w:semiHidden/>
    <w:qFormat/>
    <w:rsid w:val="004d2a64"/>
    <w:rPr>
      <w:color w:val="808080"/>
    </w:rPr>
  </w:style>
  <w:style w:type="character" w:styleId="UnresolvedMention">
    <w:name w:val="Unresolved Mention"/>
    <w:basedOn w:val="DefaultParagraphFont"/>
    <w:uiPriority w:val="99"/>
    <w:semiHidden/>
    <w:unhideWhenUsed/>
    <w:qFormat/>
    <w:rsid w:val="002f036e"/>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43276d"/>
    <w:pPr>
      <w:spacing w:before="0" w:after="0"/>
      <w:ind w:left="720" w:hanging="0"/>
      <w:contextualSpacing/>
    </w:pPr>
    <w:rPr/>
  </w:style>
  <w:style w:type="paragraph" w:styleId="Annotationtext">
    <w:name w:val="annotation text"/>
    <w:basedOn w:val="Normal"/>
    <w:link w:val="TextodecomentrioChar"/>
    <w:uiPriority w:val="99"/>
    <w:unhideWhenUsed/>
    <w:qFormat/>
    <w:rsid w:val="00fb5dfa"/>
    <w:pPr/>
    <w:rPr>
      <w:sz w:val="20"/>
      <w:szCs w:val="20"/>
    </w:rPr>
  </w:style>
  <w:style w:type="paragraph" w:styleId="Annotationsubject">
    <w:name w:val="annotation subject"/>
    <w:basedOn w:val="Annotationtext"/>
    <w:next w:val="Annotationtext"/>
    <w:link w:val="AssuntodocomentrioChar"/>
    <w:uiPriority w:val="99"/>
    <w:semiHidden/>
    <w:unhideWhenUsed/>
    <w:qFormat/>
    <w:rsid w:val="00fb5dfa"/>
    <w:pPr/>
    <w:rPr>
      <w:b/>
      <w:bCs/>
    </w:rPr>
  </w:style>
  <w:style w:type="paragraph" w:styleId="CabealhoeRodap">
    <w:name w:val="Cabeçalho e Rodapé"/>
    <w:basedOn w:val="Normal"/>
    <w:qFormat/>
    <w:pPr/>
    <w:rPr/>
  </w:style>
  <w:style w:type="paragraph" w:styleId="Cabealho">
    <w:name w:val="Header"/>
    <w:basedOn w:val="Normal"/>
    <w:link w:val="CabealhoChar"/>
    <w:uiPriority w:val="99"/>
    <w:unhideWhenUsed/>
    <w:pPr>
      <w:tabs>
        <w:tab w:val="clear" w:pos="720"/>
        <w:tab w:val="center" w:pos="4680" w:leader="none"/>
        <w:tab w:val="right" w:pos="9360" w:leader="none"/>
      </w:tabs>
    </w:pPr>
    <w:rPr/>
  </w:style>
  <w:style w:type="paragraph" w:styleId="Rodap">
    <w:name w:val="Footer"/>
    <w:basedOn w:val="Normal"/>
    <w:link w:val="RodapChar"/>
    <w:uiPriority w:val="99"/>
    <w:unhideWhenUsed/>
    <w:pPr>
      <w:tabs>
        <w:tab w:val="clear" w:pos="720"/>
        <w:tab w:val="center" w:pos="4680" w:leader="none"/>
        <w:tab w:val="right" w:pos="9360" w:leader="none"/>
      </w:tabs>
    </w:pPr>
    <w:rPr/>
  </w:style>
  <w:style w:type="paragraph" w:styleId="Default" w:customStyle="1">
    <w:name w:val="Default"/>
    <w:qFormat/>
    <w:rsid w:val="004418d8"/>
    <w:pPr>
      <w:widowControl/>
      <w:bidi w:val="0"/>
      <w:spacing w:before="0" w:after="0"/>
      <w:jc w:val="left"/>
    </w:pPr>
    <w:rPr>
      <w:rFonts w:ascii="Calibri" w:hAnsi="Calibri" w:cs="Calibri" w:eastAsia="Times New Roman"/>
      <w:color w:val="000000"/>
      <w:kern w:val="0"/>
      <w:sz w:val="24"/>
      <w:szCs w:val="24"/>
      <w:lang w:val="pt-BR" w:eastAsia="pt-BR" w:bidi="ar-SA"/>
    </w:rPr>
  </w:style>
  <w:style w:type="paragraph" w:styleId="Revision">
    <w:name w:val="Revision"/>
    <w:uiPriority w:val="99"/>
    <w:semiHidden/>
    <w:qFormat/>
    <w:rsid w:val="00466cca"/>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BalloonText">
    <w:name w:val="Balloon Text"/>
    <w:basedOn w:val="Normal"/>
    <w:link w:val="TextodebaloChar"/>
    <w:uiPriority w:val="99"/>
    <w:semiHidden/>
    <w:unhideWhenUsed/>
    <w:qFormat/>
    <w:rsid w:val="00073ecf"/>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Normal1">
    <w:name w:val="Table Normal1"/>
    <w:rsid w:val="0057074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compras/pt-br/acesso-a-informacao/perguntas-frequentes/etp-digital/in-no-40-de-2020-e-os-estudos-tecnicos-preliminares/11-a-estimativa-do" TargetMode="External"/><Relationship Id="rId3" Type="http://schemas.openxmlformats.org/officeDocument/2006/relationships/hyperlink" Target="https://www.gov.br/agu/pt-br/comunicacao/noticias/AGUGuiaNacionaldeContrataesSustentveis4edio.pdf" TargetMode="External"/><Relationship Id="rId4" Type="http://schemas.openxmlformats.org/officeDocument/2006/relationships/hyperlink" Target="https://www.gov.br/agu/pt-br/comunicacao/noticias/PARECER01.2021CNS.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40E9E82358FF544A6C05DC9405864BC" ma:contentTypeVersion="12" ma:contentTypeDescription="Crie um novo documento." ma:contentTypeScope="" ma:versionID="d2a76236cb49df5df969e95ad7835f25">
  <xsd:schema xmlns:xsd="http://www.w3.org/2001/XMLSchema" xmlns:xs="http://www.w3.org/2001/XMLSchema" xmlns:p="http://schemas.microsoft.com/office/2006/metadata/properties" xmlns:ns2="41d635f4-39e4-4670-8820-f270028a9fd8" xmlns:ns3="921382d7-d1e8-4242-93b9-f7ceb45147e3" targetNamespace="http://schemas.microsoft.com/office/2006/metadata/properties" ma:root="true" ma:fieldsID="20182a47cf119ac00e656919f1b3daa4" ns2:_="" ns3:_="">
    <xsd:import namespace="41d635f4-39e4-4670-8820-f270028a9fd8"/>
    <xsd:import namespace="921382d7-d1e8-4242-93b9-f7ceb4514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35f4-39e4-4670-8820-f270028a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382d7-d1e8-4242-93b9-f7ceb45147e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D3C9-AEF7-4658-A914-7B33120CD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B41B3A-40B6-4A8F-AD76-35CE0F1C9297}">
  <ds:schemaRefs>
    <ds:schemaRef ds:uri="http://schemas.microsoft.com/sharepoint/v3/contenttype/forms"/>
  </ds:schemaRefs>
</ds:datastoreItem>
</file>

<file path=customXml/itemProps3.xml><?xml version="1.0" encoding="utf-8"?>
<ds:datastoreItem xmlns:ds="http://schemas.openxmlformats.org/officeDocument/2006/customXml" ds:itemID="{9CA199BD-8AF3-41C7-B0F8-A65BF79DC3E1}">
  <ds:schemaRefs>
    <ds:schemaRef ds:uri="http://schemas.openxmlformats.org/officeDocument/2006/bibliography"/>
  </ds:schemaRefs>
</ds:datastoreItem>
</file>

<file path=customXml/itemProps4.xml><?xml version="1.0" encoding="utf-8"?>
<ds:datastoreItem xmlns:ds="http://schemas.openxmlformats.org/officeDocument/2006/customXml" ds:itemID="{A88EB1E0-7269-48D4-8F61-3CBAA3C2E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35f4-39e4-4670-8820-f270028a9fd8"/>
    <ds:schemaRef ds:uri="921382d7-d1e8-4242-93b9-f7ceb451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Modelo_Estudo Técnico Preliminar</Template>
  <TotalTime>84</TotalTime>
  <Application>LibreOffice/7.5.3.2$Windows_X86_64 LibreOffice_project/9f56dff12ba03b9acd7730a5a481eea045e468f3</Application>
  <AppVersion>15.0000</AppVersion>
  <Pages>12</Pages>
  <Words>5435</Words>
  <Characters>31219</Characters>
  <CharactersWithSpaces>36462</CharactersWithSpaces>
  <Paragraphs>188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2022-03-17T19:18:00Z</dcterms:created>
  <dc:creator>Lilia Dantas</dc:creator>
  <dc:description/>
  <dc:language>pt-BR</dc:language>
  <cp:lastModifiedBy>Lilia Dantas Gonçalves</cp:lastModifiedBy>
  <dcterms:modified xsi:type="dcterms:W3CDTF">2022-03-23T13:11:00Z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0x010100740E9E82358FF544A6C05DC9405864BC</vt:lpwstr>
  </property>
</Properties>
</file>